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7ABACA" w14:textId="2C70ACF5" w:rsidR="00186518" w:rsidRPr="00626A55" w:rsidRDefault="00186518" w:rsidP="00201676">
      <w:pPr>
        <w:keepNext/>
        <w:spacing w:after="0" w:line="360" w:lineRule="auto"/>
        <w:jc w:val="center"/>
        <w:outlineLvl w:val="0"/>
        <w:rPr>
          <w:rFonts w:ascii="Verdana" w:eastAsia="Times New Roman" w:hAnsi="Verdana" w:cs="Arial"/>
          <w:b/>
          <w:bCs/>
          <w:sz w:val="32"/>
          <w:szCs w:val="32"/>
          <w:lang w:val="es-ES" w:eastAsia="es-ES"/>
        </w:rPr>
      </w:pPr>
      <w:r w:rsidRPr="00626A55">
        <w:rPr>
          <w:rFonts w:ascii="Verdana" w:eastAsia="Times New Roman" w:hAnsi="Verdana" w:cs="Arial"/>
          <w:b/>
          <w:bCs/>
          <w:sz w:val="32"/>
          <w:szCs w:val="32"/>
          <w:lang w:val="es-ES" w:eastAsia="es-ES"/>
        </w:rPr>
        <w:t>INTERPRETACIÓN EN EL CONSTITUCIONALISMO SOCIAL</w:t>
      </w:r>
    </w:p>
    <w:p w14:paraId="79A80FD6" w14:textId="77777777" w:rsidR="00F06D66" w:rsidRPr="00186518" w:rsidRDefault="00F06D66" w:rsidP="00AE689A">
      <w:pPr>
        <w:keepNext/>
        <w:spacing w:after="0" w:line="360" w:lineRule="auto"/>
        <w:outlineLvl w:val="0"/>
        <w:rPr>
          <w:rFonts w:ascii="Verdana" w:eastAsia="Times New Roman" w:hAnsi="Verdana" w:cs="Arial"/>
          <w:sz w:val="24"/>
          <w:szCs w:val="24"/>
          <w:lang w:val="es-ES" w:eastAsia="es-ES"/>
        </w:rPr>
      </w:pPr>
    </w:p>
    <w:p w14:paraId="575CB185" w14:textId="1A0AE6AE" w:rsidR="00186518" w:rsidRPr="00384B0F" w:rsidRDefault="00186518" w:rsidP="00AE689A">
      <w:pPr>
        <w:spacing w:after="0" w:line="360" w:lineRule="auto"/>
        <w:rPr>
          <w:rFonts w:ascii="Verdana" w:eastAsia="Times New Roman" w:hAnsi="Verdana" w:cs="Arial"/>
          <w:b/>
          <w:bCs/>
          <w:sz w:val="24"/>
          <w:szCs w:val="24"/>
          <w:lang w:val="es-ES" w:eastAsia="es-ES"/>
        </w:rPr>
      </w:pPr>
      <w:r w:rsidRPr="00384B0F">
        <w:rPr>
          <w:rFonts w:ascii="Verdana" w:eastAsia="Times New Roman" w:hAnsi="Verdana" w:cs="Arial"/>
          <w:b/>
          <w:bCs/>
          <w:sz w:val="24"/>
          <w:szCs w:val="24"/>
          <w:lang w:val="es-ES" w:eastAsia="es-ES"/>
        </w:rPr>
        <w:t xml:space="preserve">                                                                     Javier Marcelo Ayala</w:t>
      </w:r>
    </w:p>
    <w:p w14:paraId="1A1328DD" w14:textId="77777777" w:rsidR="00186518" w:rsidRPr="00186518" w:rsidRDefault="00186518" w:rsidP="00AE689A">
      <w:pPr>
        <w:spacing w:after="0" w:line="360" w:lineRule="auto"/>
        <w:rPr>
          <w:rFonts w:ascii="Verdana" w:eastAsia="Times New Roman" w:hAnsi="Verdana" w:cs="Arial"/>
          <w:sz w:val="24"/>
          <w:szCs w:val="24"/>
          <w:lang w:val="es-ES" w:eastAsia="es-ES"/>
        </w:rPr>
      </w:pPr>
    </w:p>
    <w:p w14:paraId="6C136F30" w14:textId="77777777" w:rsidR="00186518" w:rsidRPr="00EB03DB" w:rsidRDefault="00186518" w:rsidP="00AE689A">
      <w:pPr>
        <w:spacing w:after="0" w:line="360" w:lineRule="auto"/>
        <w:rPr>
          <w:rFonts w:ascii="Verdana" w:eastAsia="Times New Roman" w:hAnsi="Verdana" w:cs="Arial"/>
          <w:b/>
          <w:bCs/>
          <w:lang w:val="es-ES" w:eastAsia="es-ES"/>
        </w:rPr>
      </w:pPr>
      <w:r w:rsidRPr="00EB03DB">
        <w:rPr>
          <w:rFonts w:ascii="Verdana" w:eastAsia="Times New Roman" w:hAnsi="Verdana" w:cs="Arial"/>
          <w:b/>
          <w:bCs/>
          <w:lang w:val="es-ES" w:eastAsia="es-ES"/>
        </w:rPr>
        <w:t>SUMARIO:</w:t>
      </w:r>
    </w:p>
    <w:p w14:paraId="409D7A86" w14:textId="77777777" w:rsidR="00186518" w:rsidRPr="00EB03DB" w:rsidRDefault="00186518" w:rsidP="00AE689A">
      <w:pPr>
        <w:spacing w:after="0" w:line="360" w:lineRule="auto"/>
        <w:rPr>
          <w:rFonts w:ascii="Verdana" w:eastAsia="Times New Roman" w:hAnsi="Verdana" w:cs="Arial"/>
          <w:b/>
          <w:bCs/>
          <w:lang w:val="es-ES" w:eastAsia="es-ES"/>
        </w:rPr>
      </w:pPr>
    </w:p>
    <w:p w14:paraId="74724AB5" w14:textId="067B070C" w:rsidR="00186518" w:rsidRPr="00EB03DB" w:rsidRDefault="00186518" w:rsidP="00AE689A">
      <w:pPr>
        <w:spacing w:after="0" w:line="360" w:lineRule="auto"/>
        <w:rPr>
          <w:rFonts w:ascii="Verdana" w:eastAsia="Times New Roman" w:hAnsi="Verdana" w:cs="Arial"/>
          <w:b/>
          <w:lang w:val="es-ES" w:eastAsia="es-ES"/>
        </w:rPr>
      </w:pPr>
      <w:r w:rsidRPr="00EB03DB">
        <w:rPr>
          <w:rFonts w:ascii="Verdana" w:eastAsia="Times New Roman" w:hAnsi="Verdana" w:cs="Arial"/>
          <w:b/>
          <w:bCs/>
          <w:lang w:val="es-ES" w:eastAsia="es-ES"/>
        </w:rPr>
        <w:t>PRIMERA PARTE:</w:t>
      </w:r>
      <w:r w:rsidRPr="00EB03DB">
        <w:rPr>
          <w:rFonts w:ascii="Verdana" w:eastAsia="Times New Roman" w:hAnsi="Verdana" w:cs="Arial"/>
          <w:lang w:val="es-ES" w:eastAsia="es-ES"/>
        </w:rPr>
        <w:t xml:space="preserve"> </w:t>
      </w:r>
      <w:r w:rsidRPr="00EB03DB">
        <w:rPr>
          <w:rFonts w:ascii="Verdana" w:eastAsia="Times New Roman" w:hAnsi="Verdana" w:cs="Arial"/>
          <w:b/>
          <w:lang w:val="es-ES" w:eastAsia="es-ES"/>
        </w:rPr>
        <w:t>INTERPRETACIÓN Y ARGUMENTACIÓN. MARCO CONCEPTUAL</w:t>
      </w:r>
    </w:p>
    <w:p w14:paraId="38CA012C" w14:textId="77777777" w:rsidR="0049567B" w:rsidRPr="00EB03DB" w:rsidRDefault="0049567B" w:rsidP="00AE689A">
      <w:pPr>
        <w:spacing w:after="0" w:line="360" w:lineRule="auto"/>
        <w:rPr>
          <w:rFonts w:ascii="Verdana" w:eastAsia="Times New Roman" w:hAnsi="Verdana" w:cs="Arial"/>
          <w:b/>
          <w:lang w:val="es-ES" w:eastAsia="es-ES"/>
        </w:rPr>
      </w:pPr>
    </w:p>
    <w:p w14:paraId="5FA8EE66" w14:textId="09827111" w:rsidR="00186518" w:rsidRPr="00EB03DB" w:rsidRDefault="00856162" w:rsidP="00856162">
      <w:pPr>
        <w:spacing w:after="0" w:line="360" w:lineRule="auto"/>
        <w:rPr>
          <w:rFonts w:ascii="Verdana" w:eastAsia="Times New Roman" w:hAnsi="Verdana" w:cs="Arial"/>
          <w:lang w:val="es-ES" w:eastAsia="es-ES"/>
        </w:rPr>
      </w:pPr>
      <w:r w:rsidRPr="00EB03DB">
        <w:rPr>
          <w:rFonts w:ascii="Verdana" w:eastAsia="Times New Roman" w:hAnsi="Verdana" w:cs="Arial"/>
          <w:lang w:val="es-ES" w:eastAsia="es-ES"/>
        </w:rPr>
        <w:t xml:space="preserve">1. </w:t>
      </w:r>
      <w:r w:rsidR="00186518" w:rsidRPr="00EB03DB">
        <w:rPr>
          <w:rFonts w:ascii="Verdana" w:eastAsia="Times New Roman" w:hAnsi="Verdana" w:cs="Arial"/>
          <w:lang w:val="es-ES" w:eastAsia="es-ES"/>
        </w:rPr>
        <w:t>LA INTERPETACIÓN</w:t>
      </w:r>
    </w:p>
    <w:p w14:paraId="53D0F9CC" w14:textId="77777777" w:rsidR="00856162" w:rsidRPr="00EB03DB" w:rsidRDefault="00856162" w:rsidP="00856162">
      <w:pPr>
        <w:rPr>
          <w:lang w:val="es-ES" w:eastAsia="es-ES"/>
        </w:rPr>
      </w:pPr>
    </w:p>
    <w:p w14:paraId="6ECEA794" w14:textId="77777777" w:rsidR="00186518" w:rsidRPr="00EB03DB" w:rsidRDefault="00186518" w:rsidP="00AE689A">
      <w:pPr>
        <w:spacing w:after="0" w:line="360" w:lineRule="auto"/>
        <w:rPr>
          <w:rFonts w:ascii="Verdana" w:eastAsia="Times New Roman" w:hAnsi="Verdana" w:cs="Arial"/>
          <w:lang w:val="es-ES" w:eastAsia="es-ES"/>
        </w:rPr>
      </w:pPr>
      <w:r w:rsidRPr="00EB03DB">
        <w:rPr>
          <w:rFonts w:ascii="Verdana" w:eastAsia="Times New Roman" w:hAnsi="Verdana" w:cs="Arial"/>
          <w:lang w:val="es-ES" w:eastAsia="es-ES"/>
        </w:rPr>
        <w:t>Introducción</w:t>
      </w:r>
    </w:p>
    <w:p w14:paraId="08FFC185" w14:textId="77777777" w:rsidR="00186518" w:rsidRPr="00EB03DB" w:rsidRDefault="00186518" w:rsidP="00AE689A">
      <w:pPr>
        <w:spacing w:after="0" w:line="360" w:lineRule="auto"/>
        <w:rPr>
          <w:rFonts w:ascii="Verdana" w:eastAsia="Times New Roman" w:hAnsi="Verdana" w:cs="Arial"/>
          <w:lang w:val="es-ES" w:eastAsia="es-ES"/>
        </w:rPr>
      </w:pPr>
      <w:r w:rsidRPr="00EB03DB">
        <w:rPr>
          <w:rFonts w:ascii="Verdana" w:eastAsia="Times New Roman" w:hAnsi="Verdana" w:cs="Arial"/>
          <w:lang w:val="es-ES" w:eastAsia="es-ES"/>
        </w:rPr>
        <w:t xml:space="preserve">La interpretación y el mundo del derecho </w:t>
      </w:r>
    </w:p>
    <w:p w14:paraId="56AFBC65" w14:textId="77777777" w:rsidR="00186518" w:rsidRPr="00EB03DB" w:rsidRDefault="00186518" w:rsidP="00AE689A">
      <w:pPr>
        <w:spacing w:after="0" w:line="360" w:lineRule="auto"/>
        <w:rPr>
          <w:rFonts w:ascii="Verdana" w:eastAsia="Times New Roman" w:hAnsi="Verdana" w:cs="Arial"/>
          <w:lang w:val="es-ES" w:eastAsia="es-ES"/>
        </w:rPr>
      </w:pPr>
      <w:r w:rsidRPr="00EB03DB">
        <w:rPr>
          <w:rFonts w:ascii="Verdana" w:eastAsia="Times New Roman" w:hAnsi="Verdana" w:cs="Arial"/>
          <w:lang w:val="es-ES" w:eastAsia="es-ES"/>
        </w:rPr>
        <w:t>Particularidades de la interpretación constitucional</w:t>
      </w:r>
    </w:p>
    <w:p w14:paraId="2EDB478F" w14:textId="77777777" w:rsidR="00186518" w:rsidRPr="00EB03DB" w:rsidRDefault="00186518" w:rsidP="00AE689A">
      <w:pPr>
        <w:spacing w:after="0" w:line="360" w:lineRule="auto"/>
        <w:rPr>
          <w:rFonts w:ascii="Verdana" w:eastAsia="Times New Roman" w:hAnsi="Verdana" w:cs="Arial"/>
          <w:lang w:val="es-ES" w:eastAsia="es-ES"/>
        </w:rPr>
      </w:pPr>
      <w:r w:rsidRPr="00EB03DB">
        <w:rPr>
          <w:rFonts w:ascii="Verdana" w:eastAsia="Times New Roman" w:hAnsi="Verdana" w:cs="Arial"/>
          <w:lang w:val="es-ES" w:eastAsia="es-ES"/>
        </w:rPr>
        <w:t xml:space="preserve">Interpretación y control judicial de constitucionalidad </w:t>
      </w:r>
    </w:p>
    <w:p w14:paraId="4FBEA479" w14:textId="4CE7EFF4" w:rsidR="001B3DE0" w:rsidRPr="00EB03DB" w:rsidRDefault="00186518" w:rsidP="00AE689A">
      <w:pPr>
        <w:spacing w:after="0" w:line="360" w:lineRule="auto"/>
        <w:rPr>
          <w:rFonts w:ascii="Verdana" w:eastAsia="Times New Roman" w:hAnsi="Verdana" w:cs="Arial"/>
          <w:lang w:val="es-ES" w:eastAsia="es-ES"/>
        </w:rPr>
      </w:pPr>
      <w:r w:rsidRPr="00EB03DB">
        <w:rPr>
          <w:rFonts w:ascii="Verdana" w:eastAsia="Times New Roman" w:hAnsi="Verdana" w:cs="Arial"/>
          <w:lang w:val="es-ES" w:eastAsia="es-ES"/>
        </w:rPr>
        <w:t xml:space="preserve">Control de razonabilidad e interpretación constitucional. El principio de claridad </w:t>
      </w:r>
    </w:p>
    <w:p w14:paraId="48A5B100" w14:textId="77777777" w:rsidR="0049567B" w:rsidRPr="00EB03DB" w:rsidRDefault="0049567B" w:rsidP="00AE689A">
      <w:pPr>
        <w:spacing w:after="0" w:line="360" w:lineRule="auto"/>
        <w:rPr>
          <w:rFonts w:ascii="Verdana" w:eastAsia="Times New Roman" w:hAnsi="Verdana" w:cs="Arial"/>
          <w:lang w:val="es-ES" w:eastAsia="es-ES"/>
        </w:rPr>
      </w:pPr>
    </w:p>
    <w:p w14:paraId="30718714" w14:textId="27A15C93" w:rsidR="00186518" w:rsidRPr="00EB03DB" w:rsidRDefault="00186518" w:rsidP="00AE689A">
      <w:pPr>
        <w:spacing w:after="0" w:line="360" w:lineRule="auto"/>
        <w:rPr>
          <w:rFonts w:ascii="Verdana" w:eastAsia="Times New Roman" w:hAnsi="Verdana" w:cs="Arial"/>
          <w:lang w:val="es-ES" w:eastAsia="es-ES"/>
        </w:rPr>
      </w:pPr>
      <w:r w:rsidRPr="00EB03DB">
        <w:rPr>
          <w:rFonts w:ascii="Verdana" w:eastAsia="Times New Roman" w:hAnsi="Verdana" w:cs="Arial"/>
          <w:lang w:val="es-ES" w:eastAsia="es-ES"/>
        </w:rPr>
        <w:t xml:space="preserve">2. LOS MÉTODOS </w:t>
      </w:r>
      <w:r w:rsidR="00B53642" w:rsidRPr="00EB03DB">
        <w:rPr>
          <w:rFonts w:ascii="Verdana" w:eastAsia="Times New Roman" w:hAnsi="Verdana" w:cs="Arial"/>
          <w:lang w:val="es-ES" w:eastAsia="es-ES"/>
        </w:rPr>
        <w:t xml:space="preserve">O CRITERIOS </w:t>
      </w:r>
      <w:r w:rsidRPr="00EB03DB">
        <w:rPr>
          <w:rFonts w:ascii="Verdana" w:eastAsia="Times New Roman" w:hAnsi="Verdana" w:cs="Arial"/>
          <w:lang w:val="es-ES" w:eastAsia="es-ES"/>
        </w:rPr>
        <w:t>DE INTERPRETACIÓN</w:t>
      </w:r>
    </w:p>
    <w:p w14:paraId="74694B11" w14:textId="77777777" w:rsidR="00856162" w:rsidRPr="00EB03DB" w:rsidRDefault="00856162" w:rsidP="00AE689A">
      <w:pPr>
        <w:spacing w:after="0" w:line="360" w:lineRule="auto"/>
        <w:rPr>
          <w:rFonts w:ascii="Verdana" w:eastAsia="Times New Roman" w:hAnsi="Verdana" w:cs="Arial"/>
          <w:lang w:val="es-ES" w:eastAsia="es-ES"/>
        </w:rPr>
      </w:pPr>
    </w:p>
    <w:p w14:paraId="0E57D3A0" w14:textId="151D78DC" w:rsidR="00186518" w:rsidRPr="00EB03DB" w:rsidRDefault="00186518" w:rsidP="00AE689A">
      <w:pPr>
        <w:spacing w:after="0" w:line="360" w:lineRule="auto"/>
        <w:rPr>
          <w:rFonts w:ascii="Verdana" w:eastAsia="Times New Roman" w:hAnsi="Verdana" w:cs="Arial"/>
          <w:lang w:val="es-ES" w:eastAsia="es-ES"/>
        </w:rPr>
      </w:pPr>
      <w:r w:rsidRPr="00EB03DB">
        <w:rPr>
          <w:rFonts w:ascii="Verdana" w:eastAsia="Times New Roman" w:hAnsi="Verdana" w:cs="Arial"/>
          <w:lang w:val="es-ES" w:eastAsia="es-ES"/>
        </w:rPr>
        <w:t xml:space="preserve">El método </w:t>
      </w:r>
      <w:r w:rsidR="00B53642" w:rsidRPr="00EB03DB">
        <w:rPr>
          <w:rFonts w:ascii="Verdana" w:eastAsia="Times New Roman" w:hAnsi="Verdana" w:cs="Arial"/>
          <w:lang w:val="es-ES" w:eastAsia="es-ES"/>
        </w:rPr>
        <w:t xml:space="preserve">o criterio </w:t>
      </w:r>
      <w:r w:rsidRPr="00EB03DB">
        <w:rPr>
          <w:rFonts w:ascii="Verdana" w:eastAsia="Times New Roman" w:hAnsi="Verdana" w:cs="Arial"/>
          <w:lang w:val="es-ES" w:eastAsia="es-ES"/>
        </w:rPr>
        <w:t xml:space="preserve">gramatical, literal o semántico </w:t>
      </w:r>
    </w:p>
    <w:p w14:paraId="5A5E4DEE" w14:textId="43464518" w:rsidR="00186518" w:rsidRPr="00EB03DB" w:rsidRDefault="00186518" w:rsidP="00AE689A">
      <w:pPr>
        <w:spacing w:after="0" w:line="360" w:lineRule="auto"/>
        <w:rPr>
          <w:rFonts w:ascii="Verdana" w:eastAsia="Times New Roman" w:hAnsi="Verdana" w:cs="Arial"/>
          <w:lang w:val="es-ES" w:eastAsia="es-ES"/>
        </w:rPr>
      </w:pPr>
      <w:r w:rsidRPr="00EB03DB">
        <w:rPr>
          <w:rFonts w:ascii="Verdana" w:eastAsia="Times New Roman" w:hAnsi="Verdana" w:cs="Arial"/>
          <w:lang w:val="es-ES" w:eastAsia="es-ES"/>
        </w:rPr>
        <w:t>El método</w:t>
      </w:r>
      <w:r w:rsidR="00B53642" w:rsidRPr="00EB03DB">
        <w:rPr>
          <w:rFonts w:ascii="Verdana" w:eastAsia="Times New Roman" w:hAnsi="Verdana" w:cs="Arial"/>
          <w:lang w:val="es-ES" w:eastAsia="es-ES"/>
        </w:rPr>
        <w:t xml:space="preserve"> o criterio</w:t>
      </w:r>
      <w:r w:rsidRPr="00EB03DB">
        <w:rPr>
          <w:rFonts w:ascii="Verdana" w:eastAsia="Times New Roman" w:hAnsi="Verdana" w:cs="Arial"/>
          <w:lang w:val="es-ES" w:eastAsia="es-ES"/>
        </w:rPr>
        <w:t xml:space="preserve"> sistemático</w:t>
      </w:r>
    </w:p>
    <w:p w14:paraId="6EE09520" w14:textId="516E263D" w:rsidR="00186518" w:rsidRPr="00EB03DB" w:rsidRDefault="00186518" w:rsidP="00AE689A">
      <w:pPr>
        <w:spacing w:after="0" w:line="360" w:lineRule="auto"/>
        <w:rPr>
          <w:rFonts w:ascii="Verdana" w:eastAsia="Times New Roman" w:hAnsi="Verdana" w:cs="Arial"/>
          <w:lang w:val="es-ES" w:eastAsia="es-ES"/>
        </w:rPr>
      </w:pPr>
      <w:r w:rsidRPr="00EB03DB">
        <w:rPr>
          <w:rFonts w:ascii="Verdana" w:eastAsia="Times New Roman" w:hAnsi="Verdana" w:cs="Arial"/>
          <w:lang w:val="es-ES" w:eastAsia="es-ES"/>
        </w:rPr>
        <w:t xml:space="preserve">El método </w:t>
      </w:r>
      <w:r w:rsidR="00B53642" w:rsidRPr="00EB03DB">
        <w:rPr>
          <w:rFonts w:ascii="Verdana" w:eastAsia="Times New Roman" w:hAnsi="Verdana" w:cs="Arial"/>
          <w:lang w:val="es-ES" w:eastAsia="es-ES"/>
        </w:rPr>
        <w:t xml:space="preserve">o criterio </w:t>
      </w:r>
      <w:r w:rsidRPr="00EB03DB">
        <w:rPr>
          <w:rFonts w:ascii="Verdana" w:eastAsia="Times New Roman" w:hAnsi="Verdana" w:cs="Arial"/>
          <w:lang w:val="es-ES" w:eastAsia="es-ES"/>
        </w:rPr>
        <w:t>finalista o teleológico</w:t>
      </w:r>
    </w:p>
    <w:p w14:paraId="38C5DB85" w14:textId="60A850B5" w:rsidR="00186518" w:rsidRPr="00EB03DB" w:rsidRDefault="00186518" w:rsidP="00AE689A">
      <w:pPr>
        <w:spacing w:after="0" w:line="360" w:lineRule="auto"/>
        <w:rPr>
          <w:rFonts w:ascii="Verdana" w:eastAsia="Times New Roman" w:hAnsi="Verdana" w:cs="Arial"/>
          <w:lang w:val="es-ES" w:eastAsia="es-ES"/>
        </w:rPr>
      </w:pPr>
      <w:r w:rsidRPr="00EB03DB">
        <w:rPr>
          <w:rFonts w:ascii="Verdana" w:eastAsia="Times New Roman" w:hAnsi="Verdana" w:cs="Arial"/>
          <w:lang w:val="es-ES" w:eastAsia="es-ES"/>
        </w:rPr>
        <w:t xml:space="preserve">El método </w:t>
      </w:r>
      <w:r w:rsidR="00B53642" w:rsidRPr="00EB03DB">
        <w:rPr>
          <w:rFonts w:ascii="Verdana" w:eastAsia="Times New Roman" w:hAnsi="Verdana" w:cs="Arial"/>
          <w:lang w:val="es-ES" w:eastAsia="es-ES"/>
        </w:rPr>
        <w:t xml:space="preserve">o criterio </w:t>
      </w:r>
      <w:r w:rsidRPr="00EB03DB">
        <w:rPr>
          <w:rFonts w:ascii="Verdana" w:eastAsia="Times New Roman" w:hAnsi="Verdana" w:cs="Arial"/>
          <w:lang w:val="es-ES" w:eastAsia="es-ES"/>
        </w:rPr>
        <w:t xml:space="preserve">estático. El </w:t>
      </w:r>
      <w:r w:rsidR="00B53642" w:rsidRPr="00EB03DB">
        <w:rPr>
          <w:rFonts w:ascii="Verdana" w:eastAsia="Times New Roman" w:hAnsi="Verdana" w:cs="Arial"/>
          <w:lang w:val="es-ES" w:eastAsia="es-ES"/>
        </w:rPr>
        <w:t>criteri</w:t>
      </w:r>
      <w:r w:rsidRPr="00EB03DB">
        <w:rPr>
          <w:rFonts w:ascii="Verdana" w:eastAsia="Times New Roman" w:hAnsi="Verdana" w:cs="Arial"/>
          <w:lang w:val="es-ES" w:eastAsia="es-ES"/>
        </w:rPr>
        <w:t>o histórico. El originalismo</w:t>
      </w:r>
    </w:p>
    <w:p w14:paraId="19835090" w14:textId="60C7A762" w:rsidR="00186518" w:rsidRPr="00EB03DB" w:rsidRDefault="00186518" w:rsidP="00AE689A">
      <w:pPr>
        <w:spacing w:after="0" w:line="360" w:lineRule="auto"/>
        <w:rPr>
          <w:rFonts w:ascii="Verdana" w:eastAsia="Times New Roman" w:hAnsi="Verdana" w:cs="Arial"/>
          <w:lang w:val="es-ES" w:eastAsia="es-ES"/>
        </w:rPr>
      </w:pPr>
      <w:r w:rsidRPr="00EB03DB">
        <w:rPr>
          <w:rFonts w:ascii="Verdana" w:eastAsia="Times New Roman" w:hAnsi="Verdana" w:cs="Arial"/>
          <w:lang w:val="es-ES" w:eastAsia="es-ES"/>
        </w:rPr>
        <w:t>El método</w:t>
      </w:r>
      <w:r w:rsidR="00B53642" w:rsidRPr="00EB03DB">
        <w:rPr>
          <w:rFonts w:ascii="Verdana" w:eastAsia="Times New Roman" w:hAnsi="Verdana" w:cs="Arial"/>
          <w:lang w:val="es-ES" w:eastAsia="es-ES"/>
        </w:rPr>
        <w:t xml:space="preserve"> o criterio</w:t>
      </w:r>
      <w:r w:rsidRPr="00EB03DB">
        <w:rPr>
          <w:rFonts w:ascii="Verdana" w:eastAsia="Times New Roman" w:hAnsi="Verdana" w:cs="Arial"/>
          <w:lang w:val="es-ES" w:eastAsia="es-ES"/>
        </w:rPr>
        <w:t xml:space="preserve"> dinámico, progresista o constructivista</w:t>
      </w:r>
    </w:p>
    <w:p w14:paraId="5DB67695" w14:textId="178437A0" w:rsidR="00186518" w:rsidRPr="00EB03DB" w:rsidRDefault="00186518" w:rsidP="00AE689A">
      <w:pPr>
        <w:spacing w:after="0" w:line="360" w:lineRule="auto"/>
        <w:rPr>
          <w:rFonts w:ascii="Verdana" w:eastAsia="Times New Roman" w:hAnsi="Verdana" w:cs="Arial"/>
          <w:lang w:val="es-ES" w:eastAsia="es-ES"/>
        </w:rPr>
      </w:pPr>
      <w:r w:rsidRPr="00EB03DB">
        <w:rPr>
          <w:rFonts w:ascii="Verdana" w:eastAsia="Times New Roman" w:hAnsi="Verdana" w:cs="Arial"/>
          <w:lang w:val="es-ES" w:eastAsia="es-ES"/>
        </w:rPr>
        <w:t xml:space="preserve">Interpretación y manipulación constitucional </w:t>
      </w:r>
    </w:p>
    <w:p w14:paraId="4656BACF" w14:textId="77777777" w:rsidR="0049567B" w:rsidRPr="00EB03DB" w:rsidRDefault="0049567B" w:rsidP="00AE689A">
      <w:pPr>
        <w:spacing w:after="0" w:line="360" w:lineRule="auto"/>
        <w:rPr>
          <w:rFonts w:ascii="Verdana" w:eastAsia="Times New Roman" w:hAnsi="Verdana" w:cs="Arial"/>
          <w:lang w:val="es-ES" w:eastAsia="es-ES"/>
        </w:rPr>
      </w:pPr>
    </w:p>
    <w:p w14:paraId="3BF01CE7" w14:textId="269D2E70" w:rsidR="00186518" w:rsidRPr="00EB03DB" w:rsidRDefault="00186518" w:rsidP="00AE689A">
      <w:pPr>
        <w:spacing w:after="0" w:line="360" w:lineRule="auto"/>
        <w:rPr>
          <w:rFonts w:ascii="Verdana" w:eastAsia="Times New Roman" w:hAnsi="Verdana" w:cs="Arial"/>
          <w:lang w:val="es-ES" w:eastAsia="es-ES"/>
        </w:rPr>
      </w:pPr>
      <w:r w:rsidRPr="00EB03DB">
        <w:rPr>
          <w:rFonts w:ascii="Verdana" w:eastAsia="Times New Roman" w:hAnsi="Verdana" w:cs="Arial"/>
          <w:lang w:val="es-ES" w:eastAsia="es-ES"/>
        </w:rPr>
        <w:t>3. LA ARGUMENTACIÓN</w:t>
      </w:r>
    </w:p>
    <w:p w14:paraId="770B4425" w14:textId="77777777" w:rsidR="00E43BED" w:rsidRPr="00EB03DB" w:rsidRDefault="00E43BED" w:rsidP="00AE689A">
      <w:pPr>
        <w:spacing w:after="0" w:line="360" w:lineRule="auto"/>
        <w:rPr>
          <w:rFonts w:ascii="Verdana" w:eastAsia="Times New Roman" w:hAnsi="Verdana" w:cs="Arial"/>
          <w:lang w:val="es-ES" w:eastAsia="es-ES"/>
        </w:rPr>
      </w:pPr>
    </w:p>
    <w:p w14:paraId="05919D8B" w14:textId="77777777" w:rsidR="00186518" w:rsidRPr="00EB03DB" w:rsidRDefault="00186518" w:rsidP="00AE689A">
      <w:pPr>
        <w:spacing w:after="0" w:line="360" w:lineRule="auto"/>
        <w:rPr>
          <w:rFonts w:ascii="Verdana" w:eastAsia="Times New Roman" w:hAnsi="Verdana" w:cs="Arial"/>
          <w:lang w:val="es-ES" w:eastAsia="es-ES"/>
        </w:rPr>
      </w:pPr>
      <w:r w:rsidRPr="00EB03DB">
        <w:rPr>
          <w:rFonts w:ascii="Verdana" w:eastAsia="Times New Roman" w:hAnsi="Verdana" w:cs="Arial"/>
          <w:lang w:val="es-ES" w:eastAsia="es-ES"/>
        </w:rPr>
        <w:t>Concepto</w:t>
      </w:r>
    </w:p>
    <w:p w14:paraId="3E5585E2" w14:textId="08496E32" w:rsidR="00186518" w:rsidRPr="00EB03DB" w:rsidRDefault="00186518" w:rsidP="00AE689A">
      <w:pPr>
        <w:spacing w:after="0" w:line="360" w:lineRule="auto"/>
        <w:rPr>
          <w:rFonts w:ascii="Verdana" w:eastAsia="Times New Roman" w:hAnsi="Verdana" w:cs="Arial"/>
          <w:lang w:val="es-ES" w:eastAsia="es-ES"/>
        </w:rPr>
      </w:pPr>
      <w:r w:rsidRPr="00EB03DB">
        <w:rPr>
          <w:rFonts w:ascii="Verdana" w:eastAsia="Times New Roman" w:hAnsi="Verdana" w:cs="Arial"/>
          <w:lang w:val="es-ES" w:eastAsia="es-ES"/>
        </w:rPr>
        <w:t xml:space="preserve">Distintos argumentos que justifican la decisión judicial </w:t>
      </w:r>
    </w:p>
    <w:p w14:paraId="04152339" w14:textId="77777777" w:rsidR="0049567B" w:rsidRPr="00EB03DB" w:rsidRDefault="0049567B" w:rsidP="00AE689A">
      <w:pPr>
        <w:spacing w:after="0" w:line="360" w:lineRule="auto"/>
        <w:rPr>
          <w:rFonts w:ascii="Verdana" w:eastAsia="Times New Roman" w:hAnsi="Verdana" w:cs="Arial"/>
          <w:lang w:val="es-ES" w:eastAsia="es-ES"/>
        </w:rPr>
      </w:pPr>
    </w:p>
    <w:p w14:paraId="71FE0544" w14:textId="78ED4C3D" w:rsidR="00186518" w:rsidRPr="00EB03DB" w:rsidRDefault="00186518" w:rsidP="00AE689A">
      <w:pPr>
        <w:spacing w:after="0" w:line="360" w:lineRule="auto"/>
        <w:rPr>
          <w:rFonts w:ascii="Verdana" w:eastAsia="Times New Roman" w:hAnsi="Verdana" w:cs="Arial"/>
          <w:lang w:val="es-ES" w:eastAsia="es-ES"/>
        </w:rPr>
      </w:pPr>
      <w:r w:rsidRPr="00EB03DB">
        <w:rPr>
          <w:rFonts w:ascii="Verdana" w:eastAsia="Times New Roman" w:hAnsi="Verdana" w:cs="Arial"/>
          <w:lang w:val="es-ES" w:eastAsia="es-ES"/>
        </w:rPr>
        <w:t>4. REFLEXIONES ADICIONALES</w:t>
      </w:r>
    </w:p>
    <w:p w14:paraId="056EB8DE" w14:textId="77777777" w:rsidR="001B3DE0" w:rsidRPr="00EB03DB" w:rsidRDefault="001B3DE0" w:rsidP="00AE689A">
      <w:pPr>
        <w:spacing w:after="0" w:line="360" w:lineRule="auto"/>
        <w:rPr>
          <w:rFonts w:ascii="Verdana" w:eastAsia="Times New Roman" w:hAnsi="Verdana" w:cs="Arial"/>
          <w:lang w:val="es-ES" w:eastAsia="es-ES"/>
        </w:rPr>
      </w:pPr>
    </w:p>
    <w:p w14:paraId="391CFD8F" w14:textId="77777777" w:rsidR="00186518" w:rsidRPr="00EB03DB" w:rsidRDefault="00186518" w:rsidP="00AE689A">
      <w:pPr>
        <w:spacing w:after="0" w:line="360" w:lineRule="auto"/>
        <w:rPr>
          <w:rFonts w:ascii="Verdana" w:eastAsia="Times New Roman" w:hAnsi="Verdana" w:cs="Arial"/>
          <w:lang w:val="es-ES" w:eastAsia="es-ES"/>
        </w:rPr>
      </w:pPr>
      <w:r w:rsidRPr="00EB03DB">
        <w:rPr>
          <w:rFonts w:ascii="Verdana" w:eastAsia="Times New Roman" w:hAnsi="Verdana" w:cs="Arial"/>
          <w:lang w:val="es-ES" w:eastAsia="es-ES"/>
        </w:rPr>
        <w:t>Otro aporte sobre el tema: la sociedad abierta de los intérpretes de la constitución</w:t>
      </w:r>
    </w:p>
    <w:p w14:paraId="28383A88" w14:textId="016BC2CA" w:rsidR="00186518" w:rsidRPr="00EB03DB" w:rsidRDefault="00186518" w:rsidP="00AE689A">
      <w:pPr>
        <w:spacing w:after="0" w:line="360" w:lineRule="auto"/>
        <w:rPr>
          <w:rFonts w:ascii="Verdana" w:eastAsia="Times New Roman" w:hAnsi="Verdana" w:cs="Arial"/>
          <w:lang w:val="es-ES" w:eastAsia="es-ES"/>
        </w:rPr>
      </w:pPr>
      <w:r w:rsidRPr="00EB03DB">
        <w:rPr>
          <w:rFonts w:ascii="Verdana" w:eastAsia="Times New Roman" w:hAnsi="Verdana" w:cs="Arial"/>
          <w:lang w:val="es-ES" w:eastAsia="es-ES"/>
        </w:rPr>
        <w:t>Lo político y lo jurídico en la hermenéutica judicial</w:t>
      </w:r>
    </w:p>
    <w:p w14:paraId="1E1C7D80" w14:textId="4607613B" w:rsidR="00F07194" w:rsidRPr="00EB03DB" w:rsidRDefault="00F07194" w:rsidP="00AE689A">
      <w:pPr>
        <w:spacing w:after="0" w:line="360" w:lineRule="auto"/>
        <w:rPr>
          <w:rFonts w:ascii="Verdana" w:eastAsia="Times New Roman" w:hAnsi="Verdana" w:cs="Arial"/>
          <w:lang w:val="es-ES" w:eastAsia="es-ES"/>
        </w:rPr>
      </w:pPr>
    </w:p>
    <w:p w14:paraId="2429EF96" w14:textId="41EA26B5" w:rsidR="00F07194" w:rsidRPr="00EB03DB" w:rsidRDefault="00F07194" w:rsidP="00AE689A">
      <w:pPr>
        <w:spacing w:after="0" w:line="360" w:lineRule="auto"/>
        <w:rPr>
          <w:rFonts w:ascii="Verdana" w:eastAsia="Times New Roman" w:hAnsi="Verdana" w:cs="Arial"/>
          <w:lang w:val="es-ES" w:eastAsia="es-ES"/>
        </w:rPr>
      </w:pPr>
      <w:r w:rsidRPr="00EB03DB">
        <w:rPr>
          <w:rFonts w:ascii="Verdana" w:eastAsia="Times New Roman" w:hAnsi="Verdana" w:cs="Arial"/>
          <w:lang w:val="es-ES" w:eastAsia="es-ES"/>
        </w:rPr>
        <w:t>5. INTERPRETACIÓN Y ARGUMENTACIÓN. RELACIONES POSIBLES</w:t>
      </w:r>
    </w:p>
    <w:p w14:paraId="4EDBCB57" w14:textId="61149D6C" w:rsidR="00FC7A25" w:rsidRPr="00EB03DB" w:rsidRDefault="00FC7A25" w:rsidP="00AE689A">
      <w:pPr>
        <w:spacing w:after="0" w:line="360" w:lineRule="auto"/>
        <w:rPr>
          <w:rFonts w:ascii="Verdana" w:eastAsia="Times New Roman" w:hAnsi="Verdana" w:cs="Arial"/>
          <w:lang w:val="es-ES" w:eastAsia="es-ES"/>
        </w:rPr>
      </w:pPr>
    </w:p>
    <w:p w14:paraId="6EE829C0" w14:textId="3E943AB8" w:rsidR="00FC7A25" w:rsidRPr="00EB03DB" w:rsidRDefault="00FC7A25" w:rsidP="00AE689A">
      <w:pPr>
        <w:spacing w:after="0" w:line="360" w:lineRule="auto"/>
        <w:rPr>
          <w:rFonts w:ascii="Verdana" w:eastAsia="Times New Roman" w:hAnsi="Verdana" w:cs="Arial"/>
          <w:lang w:val="es-ES" w:eastAsia="es-ES"/>
        </w:rPr>
      </w:pPr>
      <w:r w:rsidRPr="00EB03DB">
        <w:rPr>
          <w:rFonts w:ascii="Verdana" w:eastAsia="Times New Roman" w:hAnsi="Verdana" w:cs="Arial"/>
          <w:lang w:val="es-ES" w:eastAsia="es-ES"/>
        </w:rPr>
        <w:t xml:space="preserve">6. LA MIRADA RESTRICTIVA O EXTENSIVA DE LOS DERECHOS </w:t>
      </w:r>
      <w:r w:rsidR="00E44D94" w:rsidRPr="00EB03DB">
        <w:rPr>
          <w:rFonts w:ascii="Verdana" w:eastAsia="Times New Roman" w:hAnsi="Verdana" w:cs="Arial"/>
          <w:lang w:val="es-ES" w:eastAsia="es-ES"/>
        </w:rPr>
        <w:t>Y LA INTERPRETACIÓN</w:t>
      </w:r>
    </w:p>
    <w:p w14:paraId="102A363F" w14:textId="77777777" w:rsidR="00186518" w:rsidRPr="00EB03DB" w:rsidRDefault="00186518" w:rsidP="00AE689A">
      <w:pPr>
        <w:spacing w:after="0" w:line="360" w:lineRule="auto"/>
        <w:rPr>
          <w:rFonts w:ascii="Verdana" w:eastAsia="Times New Roman" w:hAnsi="Verdana" w:cs="Arial"/>
          <w:lang w:val="es-ES" w:eastAsia="es-ES"/>
        </w:rPr>
      </w:pPr>
    </w:p>
    <w:p w14:paraId="019CC444" w14:textId="77777777" w:rsidR="00856162" w:rsidRPr="000945B2" w:rsidRDefault="00856162" w:rsidP="00856162">
      <w:pPr>
        <w:spacing w:after="0" w:line="360" w:lineRule="auto"/>
        <w:rPr>
          <w:rFonts w:ascii="Verdana" w:eastAsia="Times New Roman" w:hAnsi="Verdana" w:cs="Arial"/>
          <w:b/>
          <w:bCs/>
          <w:lang w:val="es-ES" w:eastAsia="es-ES"/>
        </w:rPr>
      </w:pPr>
      <w:r w:rsidRPr="000945B2">
        <w:rPr>
          <w:rFonts w:ascii="Verdana" w:eastAsia="Times New Roman" w:hAnsi="Verdana" w:cs="Arial"/>
          <w:b/>
          <w:bCs/>
          <w:lang w:val="es-ES" w:eastAsia="es-ES"/>
        </w:rPr>
        <w:t>SEGUNDA PARTE: ANÁLISIS DE SENTENCIAS DE LA CORTE SUPREMA DE JUSTICIA DE LA NACIÓN SOBRE DERECHOS ECONÓMICOS, SOCIALES Y CULTURALES</w:t>
      </w:r>
    </w:p>
    <w:p w14:paraId="762218B3" w14:textId="77777777" w:rsidR="00856162" w:rsidRPr="000945B2" w:rsidRDefault="00856162" w:rsidP="00856162"/>
    <w:p w14:paraId="151A8D7B" w14:textId="77777777" w:rsidR="00856162" w:rsidRPr="000945B2" w:rsidRDefault="00856162" w:rsidP="00856162">
      <w:pPr>
        <w:spacing w:after="0" w:line="360" w:lineRule="auto"/>
        <w:rPr>
          <w:rFonts w:ascii="Verdana" w:eastAsia="Times New Roman" w:hAnsi="Verdana" w:cs="Arial"/>
          <w:lang w:val="es-ES" w:eastAsia="es-ES"/>
        </w:rPr>
      </w:pPr>
      <w:r w:rsidRPr="000945B2">
        <w:rPr>
          <w:rFonts w:ascii="Verdana" w:eastAsia="Times New Roman" w:hAnsi="Verdana" w:cs="Arial"/>
          <w:lang w:val="es-ES" w:eastAsia="es-ES"/>
        </w:rPr>
        <w:t>1.SENTENCIAS PREVIAS A LA REFORMA CONSTITUCIONAL DE 1994</w:t>
      </w:r>
    </w:p>
    <w:p w14:paraId="36B26FD7" w14:textId="77777777" w:rsidR="00856162" w:rsidRPr="000945B2" w:rsidRDefault="00856162" w:rsidP="00856162">
      <w:pPr>
        <w:spacing w:after="0" w:line="360" w:lineRule="auto"/>
        <w:rPr>
          <w:rFonts w:ascii="Verdana" w:eastAsia="Times New Roman" w:hAnsi="Verdana" w:cs="Arial"/>
          <w:lang w:val="es-ES" w:eastAsia="es-ES"/>
        </w:rPr>
      </w:pPr>
    </w:p>
    <w:p w14:paraId="767961DF" w14:textId="77777777" w:rsidR="00856162" w:rsidRPr="000945B2" w:rsidRDefault="00856162" w:rsidP="00856162">
      <w:pPr>
        <w:spacing w:after="0" w:line="360" w:lineRule="auto"/>
        <w:rPr>
          <w:rFonts w:ascii="Verdana" w:eastAsia="Times New Roman" w:hAnsi="Verdana" w:cs="Arial"/>
          <w:lang w:val="es-ES" w:eastAsia="es-ES"/>
        </w:rPr>
      </w:pPr>
      <w:r w:rsidRPr="000945B2">
        <w:rPr>
          <w:rFonts w:ascii="Verdana" w:eastAsia="Times New Roman" w:hAnsi="Verdana" w:cs="Arial"/>
          <w:lang w:val="es-ES" w:eastAsia="es-ES"/>
        </w:rPr>
        <w:t>Hileret y Rodríguez c/ Provincia de Tucumán (1903): el criterio estático u originalista</w:t>
      </w:r>
    </w:p>
    <w:p w14:paraId="29AC8EE4" w14:textId="77777777" w:rsidR="00856162" w:rsidRPr="000945B2" w:rsidRDefault="00856162" w:rsidP="00856162">
      <w:pPr>
        <w:spacing w:after="0" w:line="360" w:lineRule="auto"/>
        <w:rPr>
          <w:rFonts w:ascii="Verdana" w:eastAsia="Times New Roman" w:hAnsi="Verdana" w:cs="Arial"/>
          <w:lang w:val="es-ES" w:eastAsia="es-ES"/>
        </w:rPr>
      </w:pPr>
      <w:r w:rsidRPr="000945B2">
        <w:rPr>
          <w:rFonts w:ascii="Verdana" w:eastAsia="Times New Roman" w:hAnsi="Verdana" w:cs="Arial"/>
          <w:lang w:val="es-ES" w:eastAsia="es-ES"/>
        </w:rPr>
        <w:t>Santos Martínez (1930): criterio dinámico o constructivista en materia laboral. Una mirada extensiva</w:t>
      </w:r>
    </w:p>
    <w:p w14:paraId="5BF28370" w14:textId="77777777" w:rsidR="00856162" w:rsidRPr="000945B2" w:rsidRDefault="00856162" w:rsidP="00856162">
      <w:pPr>
        <w:spacing w:after="0" w:line="360" w:lineRule="auto"/>
        <w:rPr>
          <w:rFonts w:ascii="Verdana" w:eastAsia="Times New Roman" w:hAnsi="Verdana" w:cs="Arial"/>
          <w:lang w:val="es-ES" w:eastAsia="es-ES"/>
        </w:rPr>
      </w:pPr>
      <w:r w:rsidRPr="000945B2">
        <w:rPr>
          <w:rFonts w:ascii="Verdana" w:eastAsia="Times New Roman" w:hAnsi="Verdana" w:cs="Arial"/>
          <w:lang w:val="es-ES" w:eastAsia="es-ES"/>
        </w:rPr>
        <w:t>Avico, Oscar Agustín c/ De la Pesa, Saúl (1934): criterio dinámico o constructivista en materia económica</w:t>
      </w:r>
    </w:p>
    <w:p w14:paraId="01A94BE3" w14:textId="77777777" w:rsidR="00856162" w:rsidRPr="000945B2" w:rsidRDefault="00856162" w:rsidP="00856162">
      <w:pPr>
        <w:spacing w:after="0" w:line="360" w:lineRule="auto"/>
        <w:rPr>
          <w:rFonts w:ascii="Verdana" w:eastAsia="Times New Roman" w:hAnsi="Verdana" w:cs="Arial"/>
          <w:lang w:val="es-ES" w:eastAsia="es-ES"/>
        </w:rPr>
      </w:pPr>
      <w:r w:rsidRPr="000945B2">
        <w:rPr>
          <w:rFonts w:ascii="Verdana" w:eastAsia="Times New Roman" w:hAnsi="Verdana" w:cs="Arial"/>
          <w:lang w:val="es-ES" w:eastAsia="es-ES"/>
        </w:rPr>
        <w:t>Rusich, Elvira c/ Cía. Introductora de Buenos Aires (1938): otro ejemplo de interpretación dinámica en materia laboral</w:t>
      </w:r>
    </w:p>
    <w:p w14:paraId="56D10207" w14:textId="77777777" w:rsidR="00856162" w:rsidRPr="000945B2" w:rsidRDefault="00856162" w:rsidP="00856162">
      <w:pPr>
        <w:spacing w:after="0" w:line="360" w:lineRule="auto"/>
        <w:rPr>
          <w:rFonts w:ascii="Verdana" w:eastAsia="Times New Roman" w:hAnsi="Verdana" w:cs="Arial"/>
          <w:lang w:val="es-ES" w:eastAsia="es-ES"/>
        </w:rPr>
      </w:pPr>
      <w:r w:rsidRPr="000945B2">
        <w:rPr>
          <w:rFonts w:ascii="Verdana" w:eastAsia="Times New Roman" w:hAnsi="Verdana" w:cs="Arial"/>
          <w:lang w:val="es-ES" w:eastAsia="es-ES"/>
        </w:rPr>
        <w:t>Cantarini, José y otros c/ Acindar s/ indemnización (1957): la interpretación gramatical y restrictiva de los derechos sociales</w:t>
      </w:r>
    </w:p>
    <w:p w14:paraId="2B47BA16" w14:textId="77777777" w:rsidR="00856162" w:rsidRPr="000945B2" w:rsidRDefault="00856162" w:rsidP="00856162">
      <w:pPr>
        <w:spacing w:after="0" w:line="360" w:lineRule="auto"/>
        <w:rPr>
          <w:rFonts w:ascii="Verdana" w:eastAsia="Times New Roman" w:hAnsi="Verdana" w:cs="Arial"/>
          <w:lang w:val="es-ES" w:eastAsia="es-ES"/>
        </w:rPr>
      </w:pPr>
      <w:r w:rsidRPr="000945B2">
        <w:rPr>
          <w:rFonts w:ascii="Verdana" w:eastAsia="Times New Roman" w:hAnsi="Verdana" w:cs="Arial"/>
          <w:lang w:val="es-ES" w:eastAsia="es-ES"/>
        </w:rPr>
        <w:t>Ratto, Sixto y otro c/ Productos Stani S.A. (1966): interpretación combinada y restrictiva</w:t>
      </w:r>
    </w:p>
    <w:p w14:paraId="79BAA060" w14:textId="77777777" w:rsidR="00856162" w:rsidRPr="000945B2" w:rsidRDefault="00856162" w:rsidP="00856162">
      <w:pPr>
        <w:spacing w:after="0" w:line="360" w:lineRule="auto"/>
        <w:rPr>
          <w:rFonts w:ascii="Verdana" w:eastAsia="Times New Roman" w:hAnsi="Verdana" w:cs="Arial"/>
          <w:lang w:val="es-ES" w:eastAsia="es-ES"/>
        </w:rPr>
      </w:pPr>
      <w:r w:rsidRPr="000945B2">
        <w:rPr>
          <w:rFonts w:ascii="Verdana" w:eastAsia="Times New Roman" w:hAnsi="Verdana" w:cs="Arial"/>
          <w:lang w:val="es-ES" w:eastAsia="es-ES"/>
        </w:rPr>
        <w:t>De Luca c/ Banco Francés del Río de la Plata (1969): criterio finalista, sistemático. Una mirada restrictiva</w:t>
      </w:r>
    </w:p>
    <w:p w14:paraId="07A78089" w14:textId="77777777" w:rsidR="00856162" w:rsidRPr="00593E92" w:rsidRDefault="00856162" w:rsidP="00856162">
      <w:pPr>
        <w:spacing w:after="0" w:line="360" w:lineRule="auto"/>
        <w:rPr>
          <w:rFonts w:ascii="Verdana" w:eastAsia="Times New Roman" w:hAnsi="Verdana" w:cs="Arial"/>
          <w:lang w:val="es-ES" w:eastAsia="es-ES"/>
        </w:rPr>
      </w:pPr>
      <w:r w:rsidRPr="00593E92">
        <w:rPr>
          <w:rFonts w:ascii="Verdana" w:eastAsia="Times New Roman" w:hAnsi="Verdana" w:cs="Arial"/>
          <w:lang w:val="es-ES" w:eastAsia="es-ES"/>
        </w:rPr>
        <w:lastRenderedPageBreak/>
        <w:t>Bercaitz, Miguel Ángel (1974): la interpretación dinámica y construcción de un principio hermenéutico</w:t>
      </w:r>
    </w:p>
    <w:p w14:paraId="3FFAAC69" w14:textId="77777777" w:rsidR="00856162" w:rsidRPr="00593E92" w:rsidRDefault="00856162" w:rsidP="00856162">
      <w:pPr>
        <w:spacing w:after="0" w:line="360" w:lineRule="auto"/>
        <w:rPr>
          <w:rFonts w:ascii="Verdana" w:eastAsia="Times New Roman" w:hAnsi="Verdana" w:cs="Arial"/>
          <w:lang w:val="es-ES" w:eastAsia="es-ES"/>
        </w:rPr>
      </w:pPr>
    </w:p>
    <w:p w14:paraId="0EB50B2B" w14:textId="7120EDEE" w:rsidR="00856162" w:rsidRPr="00593E92" w:rsidRDefault="00856162" w:rsidP="00856162">
      <w:pPr>
        <w:spacing w:after="0" w:line="360" w:lineRule="auto"/>
        <w:rPr>
          <w:rFonts w:ascii="Verdana" w:eastAsia="Times New Roman" w:hAnsi="Verdana" w:cs="Arial"/>
          <w:lang w:val="es-ES" w:eastAsia="es-ES"/>
        </w:rPr>
      </w:pPr>
      <w:r w:rsidRPr="00593E92">
        <w:rPr>
          <w:rFonts w:ascii="Verdana" w:eastAsia="Times New Roman" w:hAnsi="Verdana" w:cs="Arial"/>
          <w:lang w:val="es-ES" w:eastAsia="es-ES"/>
        </w:rPr>
        <w:t>2.SENTENCIAS POSTERIORES A LA REFORMA CONSTITUCIONAL DE 1994</w:t>
      </w:r>
    </w:p>
    <w:p w14:paraId="1754B49B" w14:textId="77777777" w:rsidR="00856162" w:rsidRPr="00593E92" w:rsidRDefault="00856162" w:rsidP="00856162">
      <w:pPr>
        <w:spacing w:after="0" w:line="360" w:lineRule="auto"/>
        <w:rPr>
          <w:rFonts w:ascii="Verdana" w:eastAsia="Times New Roman" w:hAnsi="Verdana" w:cs="Arial"/>
          <w:lang w:val="es-ES" w:eastAsia="es-ES"/>
        </w:rPr>
      </w:pPr>
    </w:p>
    <w:p w14:paraId="527A2DFD" w14:textId="77777777" w:rsidR="00856162" w:rsidRPr="00593E92" w:rsidRDefault="00856162" w:rsidP="00856162">
      <w:pPr>
        <w:spacing w:after="0" w:line="360" w:lineRule="auto"/>
        <w:rPr>
          <w:rFonts w:ascii="Verdana" w:eastAsia="Times New Roman" w:hAnsi="Verdana" w:cs="Arial"/>
          <w:lang w:val="es-ES" w:eastAsia="es-ES"/>
        </w:rPr>
      </w:pPr>
      <w:r w:rsidRPr="00593E92">
        <w:rPr>
          <w:rFonts w:ascii="Verdana" w:eastAsia="Times New Roman" w:hAnsi="Verdana" w:cs="Arial"/>
          <w:lang w:val="es-ES" w:eastAsia="es-ES"/>
        </w:rPr>
        <w:t>Chocobar, Sixto Celestino (1996): interpretación combinada y criterio restrictivo</w:t>
      </w:r>
    </w:p>
    <w:p w14:paraId="344313AF" w14:textId="77777777" w:rsidR="00856162" w:rsidRPr="00593E92" w:rsidRDefault="00856162" w:rsidP="00856162">
      <w:pPr>
        <w:rPr>
          <w:rFonts w:ascii="Verdana" w:eastAsia="Times New Roman" w:hAnsi="Verdana" w:cs="Arial"/>
          <w:lang w:val="es-ES" w:eastAsia="es-ES"/>
        </w:rPr>
      </w:pPr>
      <w:r w:rsidRPr="00593E92">
        <w:rPr>
          <w:rFonts w:ascii="Verdana" w:eastAsia="Times New Roman" w:hAnsi="Verdana" w:cs="Arial"/>
          <w:lang w:val="es-ES" w:eastAsia="es-ES"/>
        </w:rPr>
        <w:t>Villarreal, Adolfo c/ Roemmers s/ cobro de salarios (1997): interpretación dinámica con criterio restrictivo</w:t>
      </w:r>
    </w:p>
    <w:p w14:paraId="0C56F313" w14:textId="77777777" w:rsidR="00856162" w:rsidRPr="00593E92" w:rsidRDefault="00856162" w:rsidP="00856162">
      <w:pPr>
        <w:spacing w:after="0" w:line="360" w:lineRule="auto"/>
        <w:rPr>
          <w:rFonts w:ascii="Verdana" w:eastAsia="Times New Roman" w:hAnsi="Verdana" w:cs="Arial"/>
          <w:lang w:val="es-ES" w:eastAsia="es-ES"/>
        </w:rPr>
      </w:pPr>
      <w:r w:rsidRPr="00593E92">
        <w:rPr>
          <w:rFonts w:ascii="Verdana" w:eastAsia="Times New Roman" w:hAnsi="Verdana" w:cs="Arial"/>
          <w:lang w:val="es-ES" w:eastAsia="es-ES"/>
        </w:rPr>
        <w:t>Guida, Liliana c/ Poder Ejecutivo s/ empleo público (2000): interpretación combinada y mirada restrictiva</w:t>
      </w:r>
    </w:p>
    <w:p w14:paraId="7EB7D2DA" w14:textId="77777777" w:rsidR="00856162" w:rsidRPr="00593E92" w:rsidRDefault="00856162" w:rsidP="00856162">
      <w:pPr>
        <w:spacing w:after="0" w:line="360" w:lineRule="auto"/>
        <w:rPr>
          <w:rFonts w:ascii="Verdana" w:eastAsia="Times New Roman" w:hAnsi="Verdana" w:cs="Arial"/>
          <w:lang w:val="es-ES" w:eastAsia="es-ES"/>
        </w:rPr>
      </w:pPr>
      <w:r w:rsidRPr="00593E92">
        <w:rPr>
          <w:rFonts w:ascii="Verdana" w:eastAsia="Times New Roman" w:hAnsi="Verdana" w:cs="Arial"/>
          <w:lang w:val="es-ES" w:eastAsia="es-ES"/>
        </w:rPr>
        <w:t>Vizzoti, Carlos Alberto c/ Amsa S.A. (2004): interpretación combinada con mirada extensiva y garantista</w:t>
      </w:r>
      <w:r w:rsidRPr="00593E92">
        <w:rPr>
          <w:rFonts w:ascii="Verdana" w:eastAsia="Times New Roman" w:hAnsi="Verdana" w:cs="Arial"/>
          <w:lang w:val="es-ES" w:eastAsia="es-ES"/>
        </w:rPr>
        <w:tab/>
      </w:r>
    </w:p>
    <w:p w14:paraId="6D20E2D0" w14:textId="77777777" w:rsidR="00856162" w:rsidRPr="00593E92" w:rsidRDefault="00856162" w:rsidP="00856162">
      <w:pPr>
        <w:spacing w:after="0" w:line="360" w:lineRule="auto"/>
        <w:rPr>
          <w:rFonts w:ascii="Verdana" w:eastAsia="Times New Roman" w:hAnsi="Verdana" w:cs="Arial"/>
          <w:lang w:val="es-ES" w:eastAsia="es-ES"/>
        </w:rPr>
      </w:pPr>
      <w:r w:rsidRPr="00593E92">
        <w:rPr>
          <w:rFonts w:ascii="Verdana" w:eastAsia="Times New Roman" w:hAnsi="Verdana" w:cs="Arial"/>
          <w:lang w:val="es-ES" w:eastAsia="es-ES"/>
        </w:rPr>
        <w:t>Badaro, Adolfo Valentín s/ Anses (2006): interpretación dinámica con mirada extensiva</w:t>
      </w:r>
    </w:p>
    <w:p w14:paraId="21AA3BE0" w14:textId="77777777" w:rsidR="00856162" w:rsidRPr="00593E92" w:rsidRDefault="00856162" w:rsidP="00856162">
      <w:pPr>
        <w:spacing w:after="0" w:line="360" w:lineRule="auto"/>
        <w:rPr>
          <w:rFonts w:ascii="Verdana" w:eastAsia="Times New Roman" w:hAnsi="Verdana" w:cs="Arial"/>
          <w:lang w:val="es-ES" w:eastAsia="es-ES"/>
        </w:rPr>
      </w:pPr>
      <w:r w:rsidRPr="00593E92">
        <w:rPr>
          <w:rFonts w:ascii="Verdana" w:eastAsia="Times New Roman" w:hAnsi="Verdana" w:cs="Arial"/>
          <w:lang w:val="es-ES" w:eastAsia="es-ES"/>
        </w:rPr>
        <w:t>Madorrán, María Cristina c/ Administración Nacional de Aduanas s/ reincorporación (2007): interpretación combinada y decisión extensiva</w:t>
      </w:r>
    </w:p>
    <w:p w14:paraId="1AC7D306" w14:textId="77777777" w:rsidR="00856162" w:rsidRPr="00593E92" w:rsidRDefault="00856162" w:rsidP="00856162">
      <w:pPr>
        <w:spacing w:after="0" w:line="360" w:lineRule="auto"/>
        <w:rPr>
          <w:rFonts w:ascii="Verdana" w:eastAsia="Times New Roman" w:hAnsi="Verdana" w:cs="Arial"/>
          <w:lang w:val="es-ES" w:eastAsia="es-ES"/>
        </w:rPr>
      </w:pPr>
      <w:r w:rsidRPr="00593E92">
        <w:rPr>
          <w:rFonts w:ascii="Verdana" w:eastAsia="Times New Roman" w:hAnsi="Verdana" w:cs="Arial"/>
          <w:lang w:val="es-ES" w:eastAsia="es-ES"/>
        </w:rPr>
        <w:t>Asociación de Trabajadores del Estado c/ Ministerio de Trabajo (2008): interpretación combinada y carácter extensivo</w:t>
      </w:r>
    </w:p>
    <w:p w14:paraId="7EF74E10" w14:textId="77777777" w:rsidR="00856162" w:rsidRPr="00593E92" w:rsidRDefault="00856162" w:rsidP="00856162">
      <w:pPr>
        <w:spacing w:after="0" w:line="360" w:lineRule="auto"/>
        <w:rPr>
          <w:rFonts w:ascii="Verdana" w:eastAsia="Times New Roman" w:hAnsi="Verdana" w:cs="Arial"/>
          <w:lang w:val="es-ES" w:eastAsia="es-ES"/>
        </w:rPr>
      </w:pPr>
      <w:r w:rsidRPr="00593E92">
        <w:rPr>
          <w:rFonts w:ascii="Verdana" w:eastAsia="Times New Roman" w:hAnsi="Verdana" w:cs="Arial"/>
          <w:lang w:val="es-ES" w:eastAsia="es-ES"/>
        </w:rPr>
        <w:t>Sisnero, Mirtha Graciela y otros c/ Tadelva SRL (2014): interpretación combinada con mirada extensiva</w:t>
      </w:r>
    </w:p>
    <w:p w14:paraId="707AC78D" w14:textId="77777777" w:rsidR="00856162" w:rsidRPr="00593E92" w:rsidRDefault="00856162" w:rsidP="00856162">
      <w:pPr>
        <w:spacing w:after="0" w:line="360" w:lineRule="auto"/>
        <w:rPr>
          <w:rFonts w:ascii="Verdana" w:eastAsia="Times New Roman" w:hAnsi="Verdana" w:cs="Arial"/>
          <w:lang w:val="es-ES" w:eastAsia="es-ES"/>
        </w:rPr>
      </w:pPr>
      <w:r w:rsidRPr="00593E92">
        <w:rPr>
          <w:rFonts w:ascii="Verdana" w:eastAsia="Times New Roman" w:hAnsi="Verdana" w:cs="Arial"/>
          <w:lang w:val="es-ES" w:eastAsia="es-ES"/>
        </w:rPr>
        <w:t>Orellano, Francisco Daniel c/ Correo Oficial de la República Argentina (2016): la dificultad de hallar la voluntad del constituyente</w:t>
      </w:r>
    </w:p>
    <w:p w14:paraId="31466349" w14:textId="77777777" w:rsidR="00856162" w:rsidRPr="00593E92" w:rsidRDefault="00856162" w:rsidP="00856162">
      <w:pPr>
        <w:spacing w:after="0" w:line="360" w:lineRule="auto"/>
        <w:rPr>
          <w:rFonts w:ascii="Verdana" w:eastAsia="Times New Roman" w:hAnsi="Verdana" w:cs="Arial"/>
          <w:lang w:val="es-ES" w:eastAsia="es-ES"/>
        </w:rPr>
      </w:pPr>
    </w:p>
    <w:p w14:paraId="5DC2C794" w14:textId="3F7486F8" w:rsidR="00186518" w:rsidRPr="00593E92" w:rsidRDefault="00856162" w:rsidP="00AE689A">
      <w:pPr>
        <w:spacing w:after="0" w:line="360" w:lineRule="auto"/>
        <w:rPr>
          <w:rFonts w:ascii="Verdana" w:eastAsia="Times New Roman" w:hAnsi="Verdana" w:cs="Arial"/>
          <w:b/>
          <w:bCs/>
          <w:lang w:val="es-ES" w:eastAsia="es-ES"/>
        </w:rPr>
      </w:pPr>
      <w:r w:rsidRPr="00593E92">
        <w:rPr>
          <w:rFonts w:ascii="Verdana" w:eastAsia="Times New Roman" w:hAnsi="Verdana" w:cs="Arial"/>
          <w:b/>
          <w:bCs/>
          <w:lang w:val="es-ES" w:eastAsia="es-ES"/>
        </w:rPr>
        <w:t xml:space="preserve">TERCERA PARTE: CONCLUSIONES       </w:t>
      </w:r>
    </w:p>
    <w:p w14:paraId="14018C18" w14:textId="77777777" w:rsidR="00186518" w:rsidRPr="00593E92" w:rsidRDefault="00186518" w:rsidP="00AE689A">
      <w:pPr>
        <w:spacing w:after="0" w:line="360" w:lineRule="auto"/>
        <w:rPr>
          <w:rFonts w:ascii="Verdana" w:eastAsia="Times New Roman" w:hAnsi="Verdana" w:cs="Arial"/>
          <w:b/>
          <w:bCs/>
          <w:lang w:val="es-ES" w:eastAsia="es-ES"/>
        </w:rPr>
      </w:pPr>
    </w:p>
    <w:p w14:paraId="1A682A5F" w14:textId="77777777" w:rsidR="00186518" w:rsidRPr="00593E92" w:rsidRDefault="00186518" w:rsidP="00AE689A">
      <w:pPr>
        <w:spacing w:after="0" w:line="360" w:lineRule="auto"/>
        <w:rPr>
          <w:rFonts w:ascii="Verdana" w:eastAsia="Times New Roman" w:hAnsi="Verdana" w:cs="Arial"/>
          <w:b/>
          <w:bCs/>
          <w:lang w:val="es-ES" w:eastAsia="es-ES"/>
        </w:rPr>
      </w:pPr>
      <w:r w:rsidRPr="00593E92">
        <w:rPr>
          <w:rFonts w:ascii="Verdana" w:eastAsia="Times New Roman" w:hAnsi="Verdana" w:cs="Arial"/>
          <w:b/>
          <w:bCs/>
          <w:lang w:val="es-ES" w:eastAsia="es-ES"/>
        </w:rPr>
        <w:t xml:space="preserve">BIBLIOGRAFÍA </w:t>
      </w:r>
    </w:p>
    <w:p w14:paraId="292E3416" w14:textId="77777777" w:rsidR="00186518" w:rsidRPr="00186518" w:rsidRDefault="00186518" w:rsidP="00AE689A">
      <w:pPr>
        <w:spacing w:after="0" w:line="360" w:lineRule="auto"/>
        <w:rPr>
          <w:rFonts w:ascii="Verdana" w:eastAsia="Times New Roman" w:hAnsi="Verdana" w:cs="Arial"/>
          <w:sz w:val="24"/>
          <w:szCs w:val="24"/>
          <w:lang w:val="es-ES" w:eastAsia="es-ES"/>
        </w:rPr>
      </w:pPr>
    </w:p>
    <w:p w14:paraId="2434E5A6" w14:textId="77777777" w:rsidR="000B0EC3" w:rsidRDefault="000B0EC3">
      <w:pPr>
        <w:rPr>
          <w:rFonts w:ascii="Verdana" w:eastAsia="Times New Roman" w:hAnsi="Verdana" w:cs="Arial"/>
          <w:b/>
          <w:bCs/>
          <w:sz w:val="24"/>
          <w:szCs w:val="24"/>
          <w:lang w:val="es-ES" w:eastAsia="es-ES"/>
        </w:rPr>
      </w:pPr>
      <w:r>
        <w:rPr>
          <w:rFonts w:ascii="Verdana" w:eastAsia="Times New Roman" w:hAnsi="Verdana" w:cs="Arial"/>
          <w:b/>
          <w:bCs/>
          <w:sz w:val="24"/>
          <w:szCs w:val="24"/>
          <w:lang w:val="es-ES" w:eastAsia="es-ES"/>
        </w:rPr>
        <w:br w:type="page"/>
      </w:r>
    </w:p>
    <w:p w14:paraId="6C9104F5" w14:textId="7DAB003B" w:rsidR="00186518" w:rsidRPr="00186518" w:rsidRDefault="00186518" w:rsidP="00AE689A">
      <w:pPr>
        <w:spacing w:after="0" w:line="360" w:lineRule="auto"/>
        <w:rPr>
          <w:rFonts w:ascii="Verdana" w:eastAsia="Times New Roman" w:hAnsi="Verdana" w:cs="Arial"/>
          <w:b/>
          <w:bCs/>
          <w:sz w:val="24"/>
          <w:szCs w:val="24"/>
          <w:lang w:val="es-ES" w:eastAsia="es-ES"/>
        </w:rPr>
      </w:pPr>
      <w:r w:rsidRPr="00186518">
        <w:rPr>
          <w:rFonts w:ascii="Verdana" w:eastAsia="Times New Roman" w:hAnsi="Verdana" w:cs="Arial"/>
          <w:b/>
          <w:bCs/>
          <w:sz w:val="24"/>
          <w:szCs w:val="24"/>
          <w:lang w:val="es-ES" w:eastAsia="es-ES"/>
        </w:rPr>
        <w:lastRenderedPageBreak/>
        <w:t xml:space="preserve">PRIMERA PARTE: INTERPRETACIÓN Y ARGUMENTACIÓN. MARCO CONCEPTUAL </w:t>
      </w:r>
    </w:p>
    <w:p w14:paraId="12782A76" w14:textId="77777777" w:rsidR="00186518" w:rsidRPr="00186518" w:rsidRDefault="00186518" w:rsidP="00AE689A">
      <w:pPr>
        <w:spacing w:after="0" w:line="360" w:lineRule="auto"/>
        <w:rPr>
          <w:rFonts w:ascii="Verdana" w:eastAsia="Times New Roman" w:hAnsi="Verdana" w:cs="Arial"/>
          <w:sz w:val="24"/>
          <w:szCs w:val="24"/>
          <w:lang w:val="es-ES" w:eastAsia="es-ES"/>
        </w:rPr>
      </w:pPr>
    </w:p>
    <w:p w14:paraId="2701A34C" w14:textId="45FE7224" w:rsidR="00186518" w:rsidRPr="0049567B" w:rsidRDefault="0049567B" w:rsidP="0049567B">
      <w:pPr>
        <w:spacing w:after="0" w:line="360" w:lineRule="auto"/>
        <w:rPr>
          <w:rFonts w:ascii="Verdana" w:eastAsia="Times New Roman" w:hAnsi="Verdana" w:cs="Arial"/>
          <w:b/>
          <w:bCs/>
          <w:sz w:val="24"/>
          <w:szCs w:val="24"/>
          <w:lang w:val="es-ES" w:eastAsia="es-ES"/>
        </w:rPr>
      </w:pPr>
      <w:r w:rsidRPr="0049567B">
        <w:rPr>
          <w:rFonts w:ascii="Verdana" w:eastAsia="Times New Roman" w:hAnsi="Verdana" w:cs="Arial"/>
          <w:b/>
          <w:bCs/>
          <w:sz w:val="24"/>
          <w:szCs w:val="24"/>
          <w:lang w:val="es-ES" w:eastAsia="es-ES"/>
        </w:rPr>
        <w:t>1.</w:t>
      </w:r>
      <w:r>
        <w:rPr>
          <w:rFonts w:ascii="Verdana" w:eastAsia="Times New Roman" w:hAnsi="Verdana" w:cs="Arial"/>
          <w:b/>
          <w:bCs/>
          <w:sz w:val="24"/>
          <w:szCs w:val="24"/>
          <w:lang w:val="es-ES" w:eastAsia="es-ES"/>
        </w:rPr>
        <w:t xml:space="preserve"> </w:t>
      </w:r>
      <w:r w:rsidR="00186518" w:rsidRPr="0049567B">
        <w:rPr>
          <w:rFonts w:ascii="Verdana" w:eastAsia="Times New Roman" w:hAnsi="Verdana" w:cs="Arial"/>
          <w:b/>
          <w:bCs/>
          <w:sz w:val="24"/>
          <w:szCs w:val="24"/>
          <w:lang w:val="es-ES" w:eastAsia="es-ES"/>
        </w:rPr>
        <w:t>LA INTERPRETACIÓN</w:t>
      </w:r>
    </w:p>
    <w:p w14:paraId="71B86CE5" w14:textId="77777777" w:rsidR="0049567B" w:rsidRPr="0049567B" w:rsidRDefault="0049567B" w:rsidP="0049567B">
      <w:pPr>
        <w:rPr>
          <w:lang w:val="es-ES" w:eastAsia="es-ES"/>
        </w:rPr>
      </w:pPr>
    </w:p>
    <w:p w14:paraId="04E25775" w14:textId="60D98D1A" w:rsidR="00186518" w:rsidRDefault="00186518" w:rsidP="00AE689A">
      <w:pPr>
        <w:spacing w:after="0" w:line="360" w:lineRule="auto"/>
        <w:rPr>
          <w:rFonts w:ascii="Verdana" w:eastAsia="Times New Roman" w:hAnsi="Verdana" w:cs="Arial"/>
          <w:sz w:val="24"/>
          <w:szCs w:val="24"/>
          <w:lang w:val="es-ES" w:eastAsia="es-ES"/>
        </w:rPr>
      </w:pPr>
      <w:r w:rsidRPr="00AF5A74">
        <w:rPr>
          <w:rFonts w:ascii="Verdana" w:eastAsia="Times New Roman" w:hAnsi="Verdana" w:cs="Arial"/>
          <w:b/>
          <w:bCs/>
          <w:sz w:val="24"/>
          <w:szCs w:val="24"/>
          <w:lang w:val="es-ES" w:eastAsia="es-ES"/>
        </w:rPr>
        <w:t>Introducción</w:t>
      </w:r>
    </w:p>
    <w:p w14:paraId="150704E0" w14:textId="77777777" w:rsidR="001156EC" w:rsidRPr="001156EC" w:rsidRDefault="001156EC" w:rsidP="00AE689A">
      <w:pPr>
        <w:spacing w:after="0" w:line="360" w:lineRule="auto"/>
        <w:rPr>
          <w:rFonts w:ascii="Verdana" w:eastAsia="Times New Roman" w:hAnsi="Verdana" w:cs="Arial"/>
          <w:sz w:val="24"/>
          <w:szCs w:val="24"/>
          <w:lang w:val="es-ES" w:eastAsia="es-ES"/>
        </w:rPr>
      </w:pPr>
    </w:p>
    <w:p w14:paraId="7A41C37F"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Corresponde en primer lugar definir desde distintos ángulos el término interpretación. Para el diccionario, interpretar es, entre otras acepciones: “Explicar o declarar el sentido de algo, y principalmente el de un texto”</w:t>
      </w:r>
      <w:r w:rsidRPr="00186518">
        <w:rPr>
          <w:rFonts w:ascii="Verdana" w:eastAsia="Times New Roman" w:hAnsi="Verdana" w:cs="Arial"/>
          <w:sz w:val="24"/>
          <w:szCs w:val="24"/>
          <w:vertAlign w:val="superscript"/>
          <w:lang w:val="es-ES" w:eastAsia="es-ES"/>
        </w:rPr>
        <w:footnoteReference w:id="1"/>
      </w:r>
      <w:r w:rsidRPr="00186518">
        <w:rPr>
          <w:rFonts w:ascii="Verdana" w:eastAsia="Times New Roman" w:hAnsi="Verdana" w:cs="Arial"/>
          <w:sz w:val="24"/>
          <w:szCs w:val="24"/>
          <w:lang w:val="es-ES" w:eastAsia="es-ES"/>
        </w:rPr>
        <w:t>. Partiendo de esta idea, podemos concebir a la interpretación como la tarea intelectual que permite desentrañar (o brindar) el sentido de un texto. La expresión proviene de la voz latina “interpretatio”, que puede entenderse como “venir en ayuda de”, o más sencillamente, “explicar”. También surge a partir del concepto la figura del intérprete entendido como intermediario. Dicha figura se extiende igualmente al traductor, quien pone en lenguaje accesible lo que se encuentra en un idioma desconocido.</w:t>
      </w:r>
    </w:p>
    <w:p w14:paraId="47F5CE7B" w14:textId="597D6670"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Se ha manifestado que “interpretar” consiste en dotar de significado, mediante un lenguaje significativo, a ciertos objetos (signos, fórmulas o textos). El intérprete determina su sentido y alcance. Así, por ejemplo, los brujos, augures o sacerdotes asignan un significado específico a ciertos hechos, fórmulas o signos misteriosos que, </w:t>
      </w:r>
      <w:r w:rsidR="00BE122C">
        <w:rPr>
          <w:rFonts w:ascii="Verdana" w:eastAsia="Times New Roman" w:hAnsi="Verdana" w:cs="Arial"/>
          <w:sz w:val="24"/>
          <w:szCs w:val="24"/>
          <w:lang w:val="es-ES" w:eastAsia="es-ES"/>
        </w:rPr>
        <w:t>debido a</w:t>
      </w:r>
      <w:r w:rsidRPr="00186518">
        <w:rPr>
          <w:rFonts w:ascii="Verdana" w:eastAsia="Times New Roman" w:hAnsi="Verdana" w:cs="Arial"/>
          <w:sz w:val="24"/>
          <w:szCs w:val="24"/>
          <w:lang w:val="es-ES" w:eastAsia="es-ES"/>
        </w:rPr>
        <w:t xml:space="preserve"> su posición o poder, sólo ellos manejan o entienden (o creen que entienden). Los significados son incorporados mediante la interpretación. Y por ello los signos, fórmulas o acontecimientos adquieren una cierta significación en </w:t>
      </w:r>
      <w:r w:rsidRPr="00186518">
        <w:rPr>
          <w:rFonts w:ascii="Verdana" w:eastAsia="Times New Roman" w:hAnsi="Verdana" w:cs="Arial"/>
          <w:sz w:val="24"/>
          <w:szCs w:val="24"/>
          <w:lang w:val="es-ES" w:eastAsia="es-ES"/>
        </w:rPr>
        <w:lastRenderedPageBreak/>
        <w:t>virtud de un acto de establecimiento de sentido.</w:t>
      </w:r>
      <w:r w:rsidRPr="00186518">
        <w:rPr>
          <w:rFonts w:ascii="Verdana" w:eastAsia="Times New Roman" w:hAnsi="Verdana" w:cs="Arial"/>
          <w:sz w:val="24"/>
          <w:szCs w:val="24"/>
          <w:vertAlign w:val="superscript"/>
          <w:lang w:val="es-ES" w:eastAsia="es-ES"/>
        </w:rPr>
        <w:footnoteReference w:id="2"/>
      </w:r>
      <w:r w:rsidRPr="00186518">
        <w:rPr>
          <w:rFonts w:ascii="Verdana" w:eastAsia="Times New Roman" w:hAnsi="Verdana" w:cs="Arial"/>
          <w:sz w:val="24"/>
          <w:szCs w:val="24"/>
          <w:lang w:val="es-ES" w:eastAsia="es-ES"/>
        </w:rPr>
        <w:t xml:space="preserve"> Se desprende de lo dicho que la misma tarea hermenéutica o interpretativa termina generando un metalenguaje, establecido por las pautas o reglas de interpretación. </w:t>
      </w:r>
    </w:p>
    <w:p w14:paraId="3BFF1B87"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          </w:t>
      </w:r>
    </w:p>
    <w:p w14:paraId="44CFD186" w14:textId="4952C477" w:rsidR="00186518" w:rsidRDefault="00186518" w:rsidP="00AE689A">
      <w:pPr>
        <w:spacing w:after="0" w:line="360" w:lineRule="auto"/>
        <w:rPr>
          <w:rFonts w:ascii="Verdana" w:eastAsia="Times New Roman" w:hAnsi="Verdana" w:cs="Arial"/>
          <w:b/>
          <w:bCs/>
          <w:sz w:val="24"/>
          <w:szCs w:val="24"/>
          <w:lang w:val="es-ES" w:eastAsia="es-ES"/>
        </w:rPr>
      </w:pPr>
      <w:r w:rsidRPr="00B0486C">
        <w:rPr>
          <w:rFonts w:ascii="Verdana" w:eastAsia="Times New Roman" w:hAnsi="Verdana" w:cs="Arial"/>
          <w:b/>
          <w:bCs/>
          <w:sz w:val="24"/>
          <w:szCs w:val="24"/>
          <w:lang w:val="es-ES" w:eastAsia="es-ES"/>
        </w:rPr>
        <w:t>La interpretación y el mundo del derecho</w:t>
      </w:r>
    </w:p>
    <w:p w14:paraId="0747E0D3" w14:textId="77777777" w:rsidR="001156EC" w:rsidRPr="00B0486C" w:rsidRDefault="001156EC" w:rsidP="00AE689A">
      <w:pPr>
        <w:spacing w:after="0" w:line="360" w:lineRule="auto"/>
        <w:rPr>
          <w:rFonts w:ascii="Verdana" w:eastAsia="Times New Roman" w:hAnsi="Verdana" w:cs="Arial"/>
          <w:b/>
          <w:bCs/>
          <w:sz w:val="24"/>
          <w:szCs w:val="24"/>
          <w:lang w:val="es-ES" w:eastAsia="es-ES"/>
        </w:rPr>
      </w:pPr>
    </w:p>
    <w:p w14:paraId="73A5E675" w14:textId="746B0768"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Como una especie dentro del género “interpretación”, podemos encuadrar a la interpretación de jurídica y a la interpretación de la ley. Obviaremos en el presente análisis las interpretaciones de carácter doctrinario para centralizarnos exclusivamente en la interpretación de las normas jurídicas que realizan los magistrados judiciales en sus sentencias. Indudablemente la naturaleza de este procedimiento es de carácter operativo, ya que tiene un aspecto práctico o concreto en el mundo real, al establecer sanciones o imponer conductas determinadas. De igual modo, la debemos considerar como una fase esencial e imposible de eliminar en la tarea judicial. Y es por lo que deviene imprescindible la necesidad de definir qué se entiende por interpretación de la ley, por lo menos desde un punto de vista provisorio.</w:t>
      </w:r>
    </w:p>
    <w:p w14:paraId="3E86FC1B" w14:textId="159125A5"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En tal sentido, Zuleta Puceiro señala que la interpretación es el procedimiento intelectual, conducido según reglas semántico-gramaticales, cánones hermenéuticos doctrinales y preceptos legislativos, que tiende a “atribuir significado” a una o más disposiciones. Esa atribución de significado debe concebirse como un proceso complejo, por el cual se avanza hacia la individualización lógica de los vocablos utilizados, y hacia la explicitación de las partes comunicacionales implícitas –sintácticamente necesarias o no </w:t>
      </w:r>
      <w:r w:rsidRPr="00186518">
        <w:rPr>
          <w:rFonts w:ascii="Verdana" w:eastAsia="Times New Roman" w:hAnsi="Verdana" w:cs="Arial"/>
          <w:sz w:val="24"/>
          <w:szCs w:val="24"/>
          <w:lang w:val="es-ES" w:eastAsia="es-ES"/>
        </w:rPr>
        <w:lastRenderedPageBreak/>
        <w:t>necesarias- omitidas presumiblemente por razones de economía en la formulación de las disposiciones.</w:t>
      </w:r>
      <w:r w:rsidRPr="00186518">
        <w:rPr>
          <w:rFonts w:ascii="Verdana" w:eastAsia="Times New Roman" w:hAnsi="Verdana" w:cs="Arial"/>
          <w:sz w:val="24"/>
          <w:szCs w:val="24"/>
          <w:vertAlign w:val="superscript"/>
          <w:lang w:val="es-ES" w:eastAsia="es-ES"/>
        </w:rPr>
        <w:footnoteReference w:id="3"/>
      </w:r>
    </w:p>
    <w:p w14:paraId="5B827D56" w14:textId="49371455"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Sigue explicando el autor reseñado que debe adoptarse una concepción mixta o intermedia para comprender el proceso de interpretación operativa de la ley hecho por los jueces. Dicha concepción puede describirse sintéticamente como integrada por dos fases. La primera es de carácter instrumental, y se basa en la interpretación instrumental o analítica de los caracteres sintácticos y semánticos del caso a analizar. También cabe en esta etapa el análisis de aspectos históricos, o precedentes, o sistémicos. La segunda etapa tiene que ver con una interpretación de carácter pragmático, que lleven al juzgador a la elección de la alternativa más justa o conveniente para la resolución del caso concreto.</w:t>
      </w:r>
    </w:p>
    <w:p w14:paraId="380F2ACD" w14:textId="7EC9A98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Por su parte Carlos Nino enseña que las normas comunican utilizando símbolos, lingüísticos o no. La determinación de qué norma ha sido sancionada presupone la función de interpretar tales símbolos, o sea de atribuirles significado.</w:t>
      </w:r>
      <w:r w:rsidRPr="00186518">
        <w:rPr>
          <w:rFonts w:ascii="Verdana" w:eastAsia="Times New Roman" w:hAnsi="Verdana" w:cs="Arial"/>
          <w:sz w:val="24"/>
          <w:szCs w:val="24"/>
          <w:vertAlign w:val="superscript"/>
          <w:lang w:val="es-ES" w:eastAsia="es-ES"/>
        </w:rPr>
        <w:footnoteReference w:id="4"/>
      </w:r>
      <w:r w:rsidRPr="00186518">
        <w:rPr>
          <w:rFonts w:ascii="Verdana" w:eastAsia="Times New Roman" w:hAnsi="Verdana" w:cs="Arial"/>
          <w:sz w:val="24"/>
          <w:szCs w:val="24"/>
          <w:lang w:val="es-ES" w:eastAsia="es-ES"/>
        </w:rPr>
        <w:t xml:space="preserve"> Destaca también que todos los operadores del derecho interpretan las normas dentro de su competencia. Y en tal sentido alude a la interpretación judicial, aludiendo a la misma con el rótulo de “interpretación de las normas jurídicas y administración de justicia”. Como ya dijimos, ella es la que nos interesa en la presente monografía. Sobre el particular rechaza la idea simplista de que los jueces, al interpretar y aplicar las normas para resolver el caso concreto en realidad están realizando un silogismo, donde la premisa mayor es la norma aplicable, la menor la descripción del hecho que se juzga, y la </w:t>
      </w:r>
      <w:r w:rsidRPr="00186518">
        <w:rPr>
          <w:rFonts w:ascii="Verdana" w:eastAsia="Times New Roman" w:hAnsi="Verdana" w:cs="Arial"/>
          <w:sz w:val="24"/>
          <w:szCs w:val="24"/>
          <w:lang w:val="es-ES" w:eastAsia="es-ES"/>
        </w:rPr>
        <w:lastRenderedPageBreak/>
        <w:t>conclusión la resolución del caso. En tal sentido este jurista señala que no hay nada de malo en considerar el razonamiento judicial como un silogismo. Pero que lo incorrecto es pensar que las premisas del razonamiento judicial –las normas jurídicas relevantes y la descripción de los hechos decisivos-, se obtienen a través de procedimientos mecánicos. En definitiva, como ya lo han señalado Alchourrón y Bulygin, no es que los jueces no realicen un razonamiento deductivo al fundamentar una decisión, sino que la elección de las premisas y las reglas de inferencia de su razonamiento exigen una verdadera labor creativa.</w:t>
      </w:r>
      <w:r w:rsidRPr="00186518">
        <w:rPr>
          <w:rFonts w:ascii="Verdana" w:eastAsia="Times New Roman" w:hAnsi="Verdana" w:cs="Arial"/>
          <w:sz w:val="24"/>
          <w:szCs w:val="24"/>
          <w:vertAlign w:val="superscript"/>
          <w:lang w:val="es-ES" w:eastAsia="es-ES"/>
        </w:rPr>
        <w:footnoteReference w:id="5"/>
      </w:r>
      <w:r w:rsidRPr="00186518">
        <w:rPr>
          <w:rFonts w:ascii="Verdana" w:eastAsia="Times New Roman" w:hAnsi="Verdana" w:cs="Arial"/>
          <w:sz w:val="24"/>
          <w:szCs w:val="24"/>
          <w:lang w:val="es-ES" w:eastAsia="es-ES"/>
        </w:rPr>
        <w:t xml:space="preserve"> Nino se aboca fundamentalmente a relacionar la interpretación con el análisis del lenguaje natural y su problemática (imprecisiones, carga emotiva, fuerza de las oraciones) y con los problemas generados por los defectos lógicos de los sistemas jurídicos (contradicciones, lagunas).</w:t>
      </w:r>
    </w:p>
    <w:p w14:paraId="38E9DD27" w14:textId="001C4B5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Desde otra perspectiva iusfilosófica, Renato Rabbi-Baldi Cabanillas destaca la centralidad de la problemática de la interpretación jurídica en el mundo del derecho. En este orden de ideas afirma que ya desde un principio, los teóricos y prácticos de lo jurídico se han fatigado en torno de este punto, en la medida que se la vincula con la genuina comprensión de la realidad jurídica.</w:t>
      </w:r>
      <w:r w:rsidRPr="00186518">
        <w:rPr>
          <w:rFonts w:ascii="Verdana" w:eastAsia="Times New Roman" w:hAnsi="Verdana" w:cs="Arial"/>
          <w:sz w:val="24"/>
          <w:szCs w:val="24"/>
          <w:vertAlign w:val="superscript"/>
          <w:lang w:val="es-ES" w:eastAsia="es-ES"/>
        </w:rPr>
        <w:footnoteReference w:id="6"/>
      </w:r>
      <w:r w:rsidRPr="00186518">
        <w:rPr>
          <w:rFonts w:ascii="Verdana" w:eastAsia="Times New Roman" w:hAnsi="Verdana" w:cs="Arial"/>
          <w:sz w:val="24"/>
          <w:szCs w:val="24"/>
          <w:lang w:val="es-ES" w:eastAsia="es-ES"/>
        </w:rPr>
        <w:t xml:space="preserve"> Este jurista distingue diferentes sentidos de la interpretación conforme los criterios previos que se tengan en materia de fuentes del derecho y sistema jurídico. Indica que</w:t>
      </w:r>
      <w:r w:rsidR="0011534C">
        <w:rPr>
          <w:rFonts w:ascii="Verdana" w:eastAsia="Times New Roman" w:hAnsi="Verdana" w:cs="Arial"/>
          <w:sz w:val="24"/>
          <w:szCs w:val="24"/>
          <w:lang w:val="es-ES" w:eastAsia="es-ES"/>
        </w:rPr>
        <w:t xml:space="preserve">, </w:t>
      </w:r>
      <w:r w:rsidRPr="00186518">
        <w:rPr>
          <w:rFonts w:ascii="Verdana" w:eastAsia="Times New Roman" w:hAnsi="Verdana" w:cs="Arial"/>
          <w:sz w:val="24"/>
          <w:szCs w:val="24"/>
          <w:lang w:val="es-ES" w:eastAsia="es-ES"/>
        </w:rPr>
        <w:t>si se sostiene una concepción unitaria de las fuentes del derecho y cerrada del sistema jurídico, la interpretación se reduce a una mera aplicación. Vale decir que</w:t>
      </w:r>
      <w:r w:rsidR="00972B98">
        <w:rPr>
          <w:rFonts w:ascii="Verdana" w:eastAsia="Times New Roman" w:hAnsi="Verdana" w:cs="Arial"/>
          <w:sz w:val="24"/>
          <w:szCs w:val="24"/>
          <w:lang w:val="es-ES" w:eastAsia="es-ES"/>
        </w:rPr>
        <w:t>,</w:t>
      </w:r>
      <w:r w:rsidRPr="00186518">
        <w:rPr>
          <w:rFonts w:ascii="Verdana" w:eastAsia="Times New Roman" w:hAnsi="Verdana" w:cs="Arial"/>
          <w:sz w:val="24"/>
          <w:szCs w:val="24"/>
          <w:lang w:val="es-ES" w:eastAsia="es-ES"/>
        </w:rPr>
        <w:t xml:space="preserve"> si el sistema se compone solamente de </w:t>
      </w:r>
      <w:r w:rsidRPr="00186518">
        <w:rPr>
          <w:rFonts w:ascii="Verdana" w:eastAsia="Times New Roman" w:hAnsi="Verdana" w:cs="Arial"/>
          <w:sz w:val="24"/>
          <w:szCs w:val="24"/>
          <w:lang w:val="es-ES" w:eastAsia="es-ES"/>
        </w:rPr>
        <w:lastRenderedPageBreak/>
        <w:t>normas, leyes o reglas, y ellas son claras, y se hallan sistematizadas (por ejemplo</w:t>
      </w:r>
      <w:r w:rsidR="006478D8">
        <w:rPr>
          <w:rFonts w:ascii="Verdana" w:eastAsia="Times New Roman" w:hAnsi="Verdana" w:cs="Arial"/>
          <w:sz w:val="24"/>
          <w:szCs w:val="24"/>
          <w:lang w:val="es-ES" w:eastAsia="es-ES"/>
        </w:rPr>
        <w:t>,</w:t>
      </w:r>
      <w:r w:rsidRPr="00186518">
        <w:rPr>
          <w:rFonts w:ascii="Verdana" w:eastAsia="Times New Roman" w:hAnsi="Verdana" w:cs="Arial"/>
          <w:sz w:val="24"/>
          <w:szCs w:val="24"/>
          <w:lang w:val="es-ES" w:eastAsia="es-ES"/>
        </w:rPr>
        <w:t xml:space="preserve"> en Códigos), solo cabe aplicarlas. </w:t>
      </w:r>
    </w:p>
    <w:p w14:paraId="378C78E0" w14:textId="77777777" w:rsidR="00A30D37"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Pero, por el contrario, si se admite una concepción plural de las fuentes del derecho y abierta del sistema jurídico debe admitirse la complejidad de la interpretación, resaltándose entonces a la misma como una actividad que requiere de la valoración o ponderación del intérprete. Agudamente Rabbi Baldi observa que la búsqueda de una mera aplicación de las normas a casos concretos parece un noble sueño, pero bien puede conducir una pesadilla de incoherencias lógicas e injusticias materiales. De ahí que parece inevitable la interpretación, tanto de los textos normativos cuanto</w:t>
      </w:r>
      <w:r w:rsidR="000F4597">
        <w:rPr>
          <w:rFonts w:ascii="Verdana" w:eastAsia="Times New Roman" w:hAnsi="Verdana" w:cs="Arial"/>
          <w:sz w:val="24"/>
          <w:szCs w:val="24"/>
          <w:lang w:val="es-ES" w:eastAsia="es-ES"/>
        </w:rPr>
        <w:t>,</w:t>
      </w:r>
      <w:r w:rsidRPr="00186518">
        <w:rPr>
          <w:rFonts w:ascii="Verdana" w:eastAsia="Times New Roman" w:hAnsi="Verdana" w:cs="Arial"/>
          <w:sz w:val="24"/>
          <w:szCs w:val="24"/>
          <w:lang w:val="es-ES" w:eastAsia="es-ES"/>
        </w:rPr>
        <w:t xml:space="preserve"> de la realidad de la vida, ya que como ha sido puesto de relieve con particular agudeza por la Hermenéutica filosófica, esa realidad es también un “texto” y, por ello, también susceptible de una lectura por parte del intérprete.</w:t>
      </w:r>
      <w:r w:rsidRPr="00186518">
        <w:rPr>
          <w:rFonts w:ascii="Verdana" w:eastAsia="Times New Roman" w:hAnsi="Verdana" w:cs="Arial"/>
          <w:sz w:val="24"/>
          <w:szCs w:val="24"/>
          <w:vertAlign w:val="superscript"/>
          <w:lang w:val="es-ES" w:eastAsia="es-ES"/>
        </w:rPr>
        <w:footnoteReference w:id="7"/>
      </w:r>
      <w:r w:rsidRPr="00186518">
        <w:rPr>
          <w:rFonts w:ascii="Verdana" w:eastAsia="Times New Roman" w:hAnsi="Verdana" w:cs="Arial"/>
          <w:sz w:val="24"/>
          <w:szCs w:val="24"/>
          <w:lang w:val="es-ES" w:eastAsia="es-ES"/>
        </w:rPr>
        <w:t xml:space="preserve"> Queda claro entonces que la interpretación, en tanto fenómeno complejo, queda se relaciona inescindiblemente con la comprensión en el sentido hermenéutico del término.</w:t>
      </w:r>
    </w:p>
    <w:p w14:paraId="12092E8D" w14:textId="77777777" w:rsidR="00A30D37"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Por su parte, María Sandra Flores expresa destaca las dificultades y complejidades de la tarea hermenéutica. En función de ello indica que el quehacer jurídico se caracteriza por su complejidad, que puede verse en las múltiples aristas configurativas del fenómeno. Por un lado</w:t>
      </w:r>
      <w:r w:rsidR="000F4597">
        <w:rPr>
          <w:rFonts w:ascii="Verdana" w:eastAsia="Times New Roman" w:hAnsi="Verdana" w:cs="Arial"/>
          <w:sz w:val="24"/>
          <w:szCs w:val="24"/>
          <w:lang w:val="es-ES" w:eastAsia="es-ES"/>
        </w:rPr>
        <w:t>,</w:t>
      </w:r>
      <w:r w:rsidRPr="00186518">
        <w:rPr>
          <w:rFonts w:ascii="Verdana" w:eastAsia="Times New Roman" w:hAnsi="Verdana" w:cs="Arial"/>
          <w:sz w:val="24"/>
          <w:szCs w:val="24"/>
          <w:lang w:val="es-ES" w:eastAsia="es-ES"/>
        </w:rPr>
        <w:t xml:space="preserve"> no es posible ignorar el carácter lingüístico del derecho. Pero</w:t>
      </w:r>
      <w:r w:rsidR="000F4597">
        <w:rPr>
          <w:rFonts w:ascii="Verdana" w:eastAsia="Times New Roman" w:hAnsi="Verdana" w:cs="Arial"/>
          <w:sz w:val="24"/>
          <w:szCs w:val="24"/>
          <w:lang w:val="es-ES" w:eastAsia="es-ES"/>
        </w:rPr>
        <w:t>,</w:t>
      </w:r>
      <w:r w:rsidRPr="00186518">
        <w:rPr>
          <w:rFonts w:ascii="Verdana" w:eastAsia="Times New Roman" w:hAnsi="Verdana" w:cs="Arial"/>
          <w:sz w:val="24"/>
          <w:szCs w:val="24"/>
          <w:lang w:val="es-ES" w:eastAsia="es-ES"/>
        </w:rPr>
        <w:t xml:space="preserve"> sin embargo, el derecho no es solamente texto, también es un sistema. Y esta concepción del derecho como sistema exige un control sobre el cumplimiento de aquellos requisitos lógicos que buscan la coherencia, independencia y plenitud jurídica”</w:t>
      </w:r>
      <w:r w:rsidRPr="00186518">
        <w:rPr>
          <w:rFonts w:ascii="Verdana" w:eastAsia="Times New Roman" w:hAnsi="Verdana" w:cs="Arial"/>
          <w:sz w:val="24"/>
          <w:szCs w:val="24"/>
          <w:vertAlign w:val="superscript"/>
          <w:lang w:val="es-ES" w:eastAsia="es-ES"/>
        </w:rPr>
        <w:t>8</w:t>
      </w:r>
      <w:r w:rsidRPr="00186518">
        <w:rPr>
          <w:rFonts w:ascii="Verdana" w:eastAsia="Times New Roman" w:hAnsi="Verdana" w:cs="Arial"/>
          <w:sz w:val="24"/>
          <w:szCs w:val="24"/>
          <w:lang w:val="es-ES" w:eastAsia="es-ES"/>
        </w:rPr>
        <w:t xml:space="preserve">. Conforme la autora, la interpretación jurídica debe enfrentar y sortear problemas de orden lingüístico y lógico a través, entre otras posibilidades, de decisiones </w:t>
      </w:r>
      <w:r w:rsidRPr="00186518">
        <w:rPr>
          <w:rFonts w:ascii="Verdana" w:eastAsia="Times New Roman" w:hAnsi="Verdana" w:cs="Arial"/>
          <w:sz w:val="24"/>
          <w:szCs w:val="24"/>
          <w:lang w:val="es-ES" w:eastAsia="es-ES"/>
        </w:rPr>
        <w:lastRenderedPageBreak/>
        <w:t xml:space="preserve">judiciales, que van a tener un componente volitivo inevitablemente, en tanto y en cuanto son una decisión. Cabe agregar que este componente de voluntad debe enmarcarse </w:t>
      </w:r>
      <w:r w:rsidR="000F4597">
        <w:rPr>
          <w:rFonts w:ascii="Verdana" w:eastAsia="Times New Roman" w:hAnsi="Verdana" w:cs="Arial"/>
          <w:sz w:val="24"/>
          <w:szCs w:val="24"/>
          <w:lang w:val="es-ES" w:eastAsia="es-ES"/>
        </w:rPr>
        <w:t>en</w:t>
      </w:r>
      <w:r w:rsidRPr="00186518">
        <w:rPr>
          <w:rFonts w:ascii="Verdana" w:eastAsia="Times New Roman" w:hAnsi="Verdana" w:cs="Arial"/>
          <w:sz w:val="24"/>
          <w:szCs w:val="24"/>
          <w:lang w:val="es-ES" w:eastAsia="es-ES"/>
        </w:rPr>
        <w:t xml:space="preserve"> la prudencia y la razonabilidad, que serán siempre la guía de actuación de los magistrados judiciales.</w:t>
      </w:r>
      <w:r w:rsidRPr="00186518">
        <w:rPr>
          <w:rFonts w:ascii="Verdana" w:eastAsia="Times New Roman" w:hAnsi="Verdana" w:cs="Arial"/>
          <w:sz w:val="24"/>
          <w:szCs w:val="24"/>
          <w:vertAlign w:val="superscript"/>
          <w:lang w:val="es-ES" w:eastAsia="es-ES"/>
        </w:rPr>
        <w:footnoteReference w:id="8"/>
      </w:r>
      <w:r w:rsidRPr="00186518">
        <w:rPr>
          <w:rFonts w:ascii="Verdana" w:eastAsia="Times New Roman" w:hAnsi="Verdana" w:cs="Arial"/>
          <w:sz w:val="24"/>
          <w:szCs w:val="24"/>
          <w:lang w:val="es-ES" w:eastAsia="es-ES"/>
        </w:rPr>
        <w:t xml:space="preserve"> </w:t>
      </w:r>
    </w:p>
    <w:p w14:paraId="63B9D92A" w14:textId="62E54EB4"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Luigi Ferrajoli destaca la importancia de la fundamentación e implícitamente de la actividad hermenéutica o interpretativa en la tarea judicial, al señalar que tanto las leyes, como los reglamentos, las resoluciones administrativas y los negocios privados son actos preceptivos. Por consiguiente</w:t>
      </w:r>
      <w:r w:rsidR="000F4597">
        <w:rPr>
          <w:rFonts w:ascii="Verdana" w:eastAsia="Times New Roman" w:hAnsi="Verdana" w:cs="Arial"/>
          <w:sz w:val="24"/>
          <w:szCs w:val="24"/>
          <w:lang w:val="es-ES" w:eastAsia="es-ES"/>
        </w:rPr>
        <w:t>,</w:t>
      </w:r>
      <w:r w:rsidRPr="00186518">
        <w:rPr>
          <w:rFonts w:ascii="Verdana" w:eastAsia="Times New Roman" w:hAnsi="Verdana" w:cs="Arial"/>
          <w:sz w:val="24"/>
          <w:szCs w:val="24"/>
          <w:lang w:val="es-ES" w:eastAsia="es-ES"/>
        </w:rPr>
        <w:t xml:space="preserve"> no son ni verdaderos ni falsos y no pueden ser cognoscitivamente fundados o infundados. Pero las sentencias, sin embargo, exigen una motivación que debe ser fundada en hecho y en derecho.</w:t>
      </w:r>
      <w:r w:rsidRPr="00186518">
        <w:rPr>
          <w:rFonts w:ascii="Verdana" w:eastAsia="Times New Roman" w:hAnsi="Verdana" w:cs="Arial"/>
          <w:sz w:val="24"/>
          <w:szCs w:val="24"/>
          <w:vertAlign w:val="superscript"/>
          <w:lang w:val="es-ES" w:eastAsia="es-ES"/>
        </w:rPr>
        <w:footnoteReference w:id="9"/>
      </w:r>
    </w:p>
    <w:p w14:paraId="318C63CA" w14:textId="4B3CFEAF"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A partir de este repaso por diferentes posiciones de filósofos del derecho acerca de la interpretación de las leyes realizada por los jueces, cabe reiterar dos puntos en común. En primer lugar</w:t>
      </w:r>
      <w:r w:rsidR="000F4597">
        <w:rPr>
          <w:rFonts w:ascii="Verdana" w:eastAsia="Times New Roman" w:hAnsi="Verdana" w:cs="Arial"/>
          <w:sz w:val="24"/>
          <w:szCs w:val="24"/>
          <w:lang w:val="es-ES" w:eastAsia="es-ES"/>
        </w:rPr>
        <w:t>,</w:t>
      </w:r>
      <w:r w:rsidRPr="00186518">
        <w:rPr>
          <w:rFonts w:ascii="Verdana" w:eastAsia="Times New Roman" w:hAnsi="Verdana" w:cs="Arial"/>
          <w:sz w:val="24"/>
          <w:szCs w:val="24"/>
          <w:lang w:val="es-ES" w:eastAsia="es-ES"/>
        </w:rPr>
        <w:t xml:space="preserve"> la importancia, la centralidad de la tarea interpretativa en la función judicial. Y</w:t>
      </w:r>
      <w:r w:rsidR="000F4597">
        <w:rPr>
          <w:rFonts w:ascii="Verdana" w:eastAsia="Times New Roman" w:hAnsi="Verdana" w:cs="Arial"/>
          <w:sz w:val="24"/>
          <w:szCs w:val="24"/>
          <w:lang w:val="es-ES" w:eastAsia="es-ES"/>
        </w:rPr>
        <w:t>,</w:t>
      </w:r>
      <w:r w:rsidRPr="00186518">
        <w:rPr>
          <w:rFonts w:ascii="Verdana" w:eastAsia="Times New Roman" w:hAnsi="Verdana" w:cs="Arial"/>
          <w:sz w:val="24"/>
          <w:szCs w:val="24"/>
          <w:lang w:val="es-ES" w:eastAsia="es-ES"/>
        </w:rPr>
        <w:t xml:space="preserve"> en segundo lugar, la complejidad de la interpretación, que no debe asociarse a una actividad meramente mecánica o automática.</w:t>
      </w:r>
    </w:p>
    <w:p w14:paraId="71DD1086" w14:textId="77777777" w:rsidR="00186518" w:rsidRPr="00186518" w:rsidRDefault="00186518" w:rsidP="00AE689A">
      <w:pPr>
        <w:spacing w:after="0" w:line="360" w:lineRule="auto"/>
        <w:rPr>
          <w:rFonts w:ascii="Verdana" w:eastAsia="Times New Roman" w:hAnsi="Verdana" w:cs="Arial"/>
          <w:sz w:val="24"/>
          <w:szCs w:val="24"/>
          <w:lang w:val="es-ES" w:eastAsia="es-ES"/>
        </w:rPr>
      </w:pPr>
    </w:p>
    <w:p w14:paraId="49974D76" w14:textId="77777777" w:rsidR="00B85827" w:rsidRDefault="00B85827">
      <w:pPr>
        <w:rPr>
          <w:rFonts w:ascii="Verdana" w:eastAsia="Times New Roman" w:hAnsi="Verdana" w:cs="Arial"/>
          <w:b/>
          <w:bCs/>
          <w:sz w:val="24"/>
          <w:szCs w:val="24"/>
          <w:lang w:val="es-ES" w:eastAsia="es-ES"/>
        </w:rPr>
      </w:pPr>
      <w:r>
        <w:rPr>
          <w:rFonts w:ascii="Verdana" w:eastAsia="Times New Roman" w:hAnsi="Verdana" w:cs="Arial"/>
          <w:b/>
          <w:bCs/>
          <w:sz w:val="24"/>
          <w:szCs w:val="24"/>
          <w:lang w:val="es-ES" w:eastAsia="es-ES"/>
        </w:rPr>
        <w:br w:type="page"/>
      </w:r>
    </w:p>
    <w:p w14:paraId="48CFE435" w14:textId="53E6456C" w:rsidR="00186518" w:rsidRDefault="00186518" w:rsidP="00AE689A">
      <w:pPr>
        <w:spacing w:after="0" w:line="360" w:lineRule="auto"/>
        <w:rPr>
          <w:rFonts w:ascii="Verdana" w:eastAsia="Times New Roman" w:hAnsi="Verdana" w:cs="Arial"/>
          <w:b/>
          <w:bCs/>
          <w:sz w:val="24"/>
          <w:szCs w:val="24"/>
          <w:lang w:val="es-ES" w:eastAsia="es-ES"/>
        </w:rPr>
      </w:pPr>
      <w:r w:rsidRPr="00A30D37">
        <w:rPr>
          <w:rFonts w:ascii="Verdana" w:eastAsia="Times New Roman" w:hAnsi="Verdana" w:cs="Arial"/>
          <w:b/>
          <w:bCs/>
          <w:sz w:val="24"/>
          <w:szCs w:val="24"/>
          <w:lang w:val="es-ES" w:eastAsia="es-ES"/>
        </w:rPr>
        <w:lastRenderedPageBreak/>
        <w:t>Particularidades de la interpretación constitucional</w:t>
      </w:r>
    </w:p>
    <w:p w14:paraId="4402101C" w14:textId="77777777" w:rsidR="001C2AF9" w:rsidRPr="00A30D37" w:rsidRDefault="001C2AF9" w:rsidP="00AE689A">
      <w:pPr>
        <w:spacing w:after="0" w:line="360" w:lineRule="auto"/>
        <w:rPr>
          <w:rFonts w:ascii="Verdana" w:eastAsia="Times New Roman" w:hAnsi="Verdana" w:cs="Arial"/>
          <w:b/>
          <w:bCs/>
          <w:sz w:val="24"/>
          <w:szCs w:val="24"/>
          <w:lang w:val="es-ES" w:eastAsia="es-ES"/>
        </w:rPr>
      </w:pPr>
    </w:p>
    <w:p w14:paraId="6A72A516" w14:textId="61522799"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Yendo a las peculiaridades de la interpretación constitucional, podemos comenzar diciendo que ella es un subgénero de la interpretación de la ley. En tal sentido, podemos distinguir igualmente la interpretación de carácter doctrinario u académica de la de carácter operativa, hecha por legisladores o jueces. Desde luego que el objeto de esta reflexión se ciñe a la interpretación judicial. No está de más remarcar que la importancia –y los límites- de la interpretación judicial de las normas constitucionales y legales ya fue remarcada por Hamilton en El Federalista al indicar que: “Carece de valor la afirmación relativa a que los tribunales, so pretexto de incompatibilidad, estarán en libertad de sustituir a su capricho a las intenciones constitucionales de la legislatura. Lo mismo podría ocurrir en el caso de dos leyes contradictorias o, similarmente, en todo fallo en que se aplique una sola ley. Los tribunales deben declarar el significado de las leyes; y si estuviesen dispuestos a poner en ejercicio la voluntad en vez del juicio, la consecuencia sería la misma que sustituir su deseo al del cuerpo legislativo.”</w:t>
      </w:r>
      <w:r w:rsidRPr="00186518">
        <w:rPr>
          <w:rFonts w:ascii="Verdana" w:eastAsia="Times New Roman" w:hAnsi="Verdana" w:cs="Arial"/>
          <w:sz w:val="24"/>
          <w:szCs w:val="24"/>
          <w:vertAlign w:val="superscript"/>
          <w:lang w:val="es-ES" w:eastAsia="es-ES"/>
        </w:rPr>
        <w:footnoteReference w:id="10"/>
      </w:r>
    </w:p>
    <w:p w14:paraId="4B34230B"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Al adentrarnos en el tema surge rápidamente un interrogante: ¿hay un método específico o propio de la interpretación de la constitución que la distinga de la legal, o hay una diferencia de “intensidad” o de importancia de la tarea hermenéutica? Por lo general la doctrina se parece inclinar por la segunda de las opciones. En tal sentido, Linares Quintana señala que no existe un método específico distinto del de otros ámbitos del derecho. Sin embargo, es en el Derecho Constitucional donde se advierten con mayor nitidez los problemas más relevantes de </w:t>
      </w:r>
      <w:r w:rsidRPr="00186518">
        <w:rPr>
          <w:rFonts w:ascii="Verdana" w:eastAsia="Times New Roman" w:hAnsi="Verdana" w:cs="Arial"/>
          <w:sz w:val="24"/>
          <w:szCs w:val="24"/>
          <w:lang w:val="es-ES" w:eastAsia="es-ES"/>
        </w:rPr>
        <w:lastRenderedPageBreak/>
        <w:t>la hermenéutica de nuestro tiempo. El intérprete, en este ámbito, se encuentra en presencia inmediata de otra clase de reglas, muchas veces éticas y políticas, que amenazan interferir en el objeto de su estudio.</w:t>
      </w:r>
      <w:r w:rsidRPr="00186518">
        <w:rPr>
          <w:rFonts w:ascii="Verdana" w:eastAsia="Times New Roman" w:hAnsi="Verdana" w:cs="Arial"/>
          <w:sz w:val="24"/>
          <w:szCs w:val="24"/>
          <w:vertAlign w:val="superscript"/>
          <w:lang w:val="es-ES" w:eastAsia="es-ES"/>
        </w:rPr>
        <w:footnoteReference w:id="11"/>
      </w:r>
      <w:r w:rsidRPr="00186518">
        <w:rPr>
          <w:rFonts w:ascii="Verdana" w:eastAsia="Times New Roman" w:hAnsi="Verdana" w:cs="Arial"/>
          <w:sz w:val="24"/>
          <w:szCs w:val="24"/>
          <w:lang w:val="es-ES" w:eastAsia="es-ES"/>
        </w:rPr>
        <w:t xml:space="preserve"> </w:t>
      </w:r>
    </w:p>
    <w:p w14:paraId="2A3145F9" w14:textId="39EC952B"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Es por lo que</w:t>
      </w:r>
      <w:r w:rsidR="007C234D">
        <w:rPr>
          <w:rFonts w:ascii="Verdana" w:eastAsia="Times New Roman" w:hAnsi="Verdana" w:cs="Arial"/>
          <w:sz w:val="24"/>
          <w:szCs w:val="24"/>
          <w:lang w:val="es-ES" w:eastAsia="es-ES"/>
        </w:rPr>
        <w:t xml:space="preserve">, para </w:t>
      </w:r>
      <w:r w:rsidRPr="00186518">
        <w:rPr>
          <w:rFonts w:ascii="Verdana" w:eastAsia="Times New Roman" w:hAnsi="Verdana" w:cs="Arial"/>
          <w:sz w:val="24"/>
          <w:szCs w:val="24"/>
          <w:lang w:val="es-ES" w:eastAsia="es-ES"/>
        </w:rPr>
        <w:t>este autor, la interpretación asume una importancia crucial en el ámbito de la ciencia del Derecho Constitucional. Advierte también Linares Quintana que parte de las dificultades de la hermenéutica en este ámbito radica también en que, por lo general las teorías interpretativas de la ley tienen un mayor desarrollo y consistencia en el ámbito del derecho privado, puesto que la teoría de la interpretación de las leyes ha sido por lo general elaborada por los jusprivatistas y, como consecuencia lógica, refererida principalmente al derecho privado.</w:t>
      </w:r>
      <w:r w:rsidRPr="00186518">
        <w:rPr>
          <w:rFonts w:ascii="Verdana" w:eastAsia="Times New Roman" w:hAnsi="Verdana" w:cs="Arial"/>
          <w:sz w:val="24"/>
          <w:szCs w:val="24"/>
          <w:vertAlign w:val="superscript"/>
          <w:lang w:val="es-ES" w:eastAsia="es-ES"/>
        </w:rPr>
        <w:footnoteReference w:id="12"/>
      </w:r>
      <w:r w:rsidRPr="00186518">
        <w:rPr>
          <w:rFonts w:ascii="Verdana" w:eastAsia="Times New Roman" w:hAnsi="Verdana" w:cs="Arial"/>
          <w:sz w:val="24"/>
          <w:szCs w:val="24"/>
          <w:lang w:val="es-ES" w:eastAsia="es-ES"/>
        </w:rPr>
        <w:t xml:space="preserve"> </w:t>
      </w:r>
    </w:p>
    <w:p w14:paraId="3F56274A" w14:textId="53F07ACE"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Otro aspecto de relevancia advertido por este jurista consiste en la necesaria amplitud (y muchas veces gran amplitud) de los preceptos o pautas constitucionales, destinados a regir una Nación durante mucho tiempo, atento a que la rigidez de las constituciones, indispensable para consagrar su carácter de supremas, dificulta su modificación frecuente (la cual además es poco recomendable ya que acrecienta la inseguridad jurídica a mi entender). Con respecto a esto señala Linares Quintana que en ninguna otra rama de la ciencia jurídica tiene mayor aplicación que en el derecho constitucional, una afirmación de Wigmore acerca de que “las palabras están lejos de ser cosas fijas: son las cosas más fluidas e indefinidas”.</w:t>
      </w:r>
      <w:r w:rsidRPr="00186518">
        <w:rPr>
          <w:rFonts w:ascii="Verdana" w:eastAsia="Times New Roman" w:hAnsi="Verdana" w:cs="Arial"/>
          <w:sz w:val="24"/>
          <w:szCs w:val="24"/>
          <w:vertAlign w:val="superscript"/>
          <w:lang w:val="es-ES" w:eastAsia="es-ES"/>
        </w:rPr>
        <w:footnoteReference w:id="13"/>
      </w:r>
    </w:p>
    <w:p w14:paraId="672E26CF" w14:textId="59BE211C"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lastRenderedPageBreak/>
        <w:t>En este orden de ideas, María Sandra Flores llega a sostener que las cláusulas y disposiciones constitucionales son siempre fruto de una “opción por la imprecisión”. Y en tal sentido, la imprecisión es de alguna manera, una carencia inevitable del lenguaje. Las palabras y sus contextos, materia prima de la comunicación lingüística son endémicamente imprecisas. Pero las disposiciones constitucionales parecen serlo por voluntad del constituyente. La autora hace propias las palabras de Ronald Dworkin cuando expresa que “Los estándares vagos fueron elegidos de manera deliberada por los hombres que los redactaron y los adoptaron, en lugar de las normas más específicas que podrían haber promulgado. Pero su decisión de usar el lenguaje que usaron ha causado muchísimas controversias jurídicas y políticas…”</w:t>
      </w:r>
      <w:r w:rsidRPr="00186518">
        <w:rPr>
          <w:rFonts w:ascii="Verdana" w:eastAsia="Times New Roman" w:hAnsi="Verdana" w:cs="Arial"/>
          <w:sz w:val="24"/>
          <w:szCs w:val="24"/>
          <w:vertAlign w:val="superscript"/>
          <w:lang w:val="es-ES" w:eastAsia="es-ES"/>
        </w:rPr>
        <w:footnoteReference w:id="14"/>
      </w:r>
      <w:r w:rsidRPr="00186518">
        <w:rPr>
          <w:rFonts w:ascii="Verdana" w:eastAsia="Times New Roman" w:hAnsi="Verdana" w:cs="Arial"/>
          <w:sz w:val="24"/>
          <w:szCs w:val="24"/>
          <w:lang w:val="es-ES" w:eastAsia="es-ES"/>
        </w:rPr>
        <w:t xml:space="preserve"> </w:t>
      </w:r>
    </w:p>
    <w:p w14:paraId="7093C6BC" w14:textId="5E730EBB"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El intérprete se encuentra ante una encrucijada y frente a una situación de incertidumbre, ya que por un lado aparece la imprecisión semántica y por otro la necesidad de expedirse acerca del sentido de una norma. Para Flores esto es tan así que, analizando el tema de la interpretación constitucional con agudeza, se llega a la convicción acerca de que el derecho siempre está cargado de ideología. Según su concepción, ante el fenómeno de una interpretación legal cae la estructura de los que entienden que el derecho está incontaminado de valoraciones e ideologías, que el derecho no necesita ser interpretado, que su aplicación es mecánica. Entonces, la ley no es un hecho aislado del transcurrir histórico y por ende la interpretación es, de alguna forma, una instancia creadora de derecho y no solamente repetidora del mismo.</w:t>
      </w:r>
      <w:r w:rsidRPr="00186518">
        <w:rPr>
          <w:rFonts w:ascii="Verdana" w:eastAsia="Times New Roman" w:hAnsi="Verdana" w:cs="Arial"/>
          <w:sz w:val="24"/>
          <w:szCs w:val="24"/>
          <w:vertAlign w:val="superscript"/>
          <w:lang w:val="es-ES" w:eastAsia="es-ES"/>
        </w:rPr>
        <w:footnoteReference w:id="15"/>
      </w:r>
      <w:r w:rsidRPr="00186518">
        <w:rPr>
          <w:rFonts w:ascii="Verdana" w:eastAsia="Times New Roman" w:hAnsi="Verdana" w:cs="Arial"/>
          <w:sz w:val="24"/>
          <w:szCs w:val="24"/>
          <w:lang w:val="es-ES" w:eastAsia="es-ES"/>
        </w:rPr>
        <w:t xml:space="preserve"> </w:t>
      </w:r>
    </w:p>
    <w:p w14:paraId="4D55AC4C" w14:textId="6E091C31"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El jurista alemán Honrad Hesse destaca también la relevancia de la interpretación para el Derecho Constitucional, afirmando que para esta </w:t>
      </w:r>
      <w:r w:rsidRPr="00186518">
        <w:rPr>
          <w:rFonts w:ascii="Verdana" w:eastAsia="Times New Roman" w:hAnsi="Verdana" w:cs="Arial"/>
          <w:sz w:val="24"/>
          <w:szCs w:val="24"/>
          <w:lang w:val="es-ES" w:eastAsia="es-ES"/>
        </w:rPr>
        <w:lastRenderedPageBreak/>
        <w:t>rama del conocimiento jurídico la importancia de la interpretación es fundamental ya que, dado el carácter abierto y amplio de la Constitución, los problemas de interpretación surgen con mayor frecuencia que en otros sectores del derecho cuyas normas son más detalladas.</w:t>
      </w:r>
      <w:r w:rsidRPr="00186518">
        <w:rPr>
          <w:rFonts w:ascii="Verdana" w:eastAsia="Times New Roman" w:hAnsi="Verdana" w:cs="Arial"/>
          <w:sz w:val="24"/>
          <w:szCs w:val="24"/>
          <w:vertAlign w:val="superscript"/>
          <w:lang w:val="es-ES" w:eastAsia="es-ES"/>
        </w:rPr>
        <w:footnoteReference w:id="16"/>
      </w:r>
      <w:r w:rsidRPr="00186518">
        <w:rPr>
          <w:rFonts w:ascii="Verdana" w:eastAsia="Times New Roman" w:hAnsi="Verdana" w:cs="Arial"/>
          <w:sz w:val="24"/>
          <w:szCs w:val="24"/>
          <w:lang w:val="es-ES" w:eastAsia="es-ES"/>
        </w:rPr>
        <w:t xml:space="preserve"> </w:t>
      </w:r>
    </w:p>
    <w:p w14:paraId="6ABFC24A"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El citado autor sostiene que la finalidad de la tarea hermenéutica es hallar el sentido correcto de la disposición constitucional a interpretar. Ello se logra a través de un procedimiento racional y controlable, creando, de esta forma, certeza y previsibilidad jurídicas. Se excluye entonces la simple decisión por la decisión.</w:t>
      </w:r>
      <w:r w:rsidRPr="00186518">
        <w:rPr>
          <w:rFonts w:ascii="Verdana" w:eastAsia="Times New Roman" w:hAnsi="Verdana" w:cs="Arial"/>
          <w:sz w:val="24"/>
          <w:szCs w:val="24"/>
          <w:vertAlign w:val="superscript"/>
          <w:lang w:val="es-ES" w:eastAsia="es-ES"/>
        </w:rPr>
        <w:footnoteReference w:id="17"/>
      </w:r>
      <w:r w:rsidRPr="00186518">
        <w:rPr>
          <w:rFonts w:ascii="Verdana" w:eastAsia="Times New Roman" w:hAnsi="Verdana" w:cs="Arial"/>
          <w:sz w:val="24"/>
          <w:szCs w:val="24"/>
          <w:lang w:val="es-ES" w:eastAsia="es-ES"/>
        </w:rPr>
        <w:t xml:space="preserve"> Para Hesse, la interpretación es, de algún modo, una concretización de la Constitución.</w:t>
      </w:r>
      <w:r w:rsidRPr="00186518">
        <w:rPr>
          <w:rFonts w:ascii="Verdana" w:eastAsia="Times New Roman" w:hAnsi="Verdana" w:cs="Arial"/>
          <w:sz w:val="24"/>
          <w:szCs w:val="24"/>
          <w:vertAlign w:val="superscript"/>
          <w:lang w:val="es-ES" w:eastAsia="es-ES"/>
        </w:rPr>
        <w:footnoteReference w:id="18"/>
      </w:r>
    </w:p>
    <w:p w14:paraId="598D7330"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Remarcando las peculiaridades de la hermenéutica constitucional tenemos también a Alberto Dalla Vía. Este jurista hace hincapié en la tanto en trascendencia como en la amplitud de la interpretación en este ámbito del derecho, manifestando que: “El carácter abierto de la norma constitucional fue enfatizado por el célebre juez Marshall en el caso “Mc. Culloch vs. Maryland” cuando dijera: “no debemos olvidar que es una Constitución lo que estamos interpretando, una Constitución destinada a resistir épocas futuras y, consiguientemente, a ser adaptable a las variadas crisis de los asuntos humanos.”</w:t>
      </w:r>
      <w:r w:rsidRPr="00186518">
        <w:rPr>
          <w:rFonts w:ascii="Verdana" w:eastAsia="Times New Roman" w:hAnsi="Verdana" w:cs="Arial"/>
          <w:sz w:val="24"/>
          <w:szCs w:val="24"/>
          <w:vertAlign w:val="superscript"/>
          <w:lang w:val="es-ES" w:eastAsia="es-ES"/>
        </w:rPr>
        <w:footnoteReference w:id="19"/>
      </w:r>
      <w:r w:rsidRPr="00186518">
        <w:rPr>
          <w:rFonts w:ascii="Verdana" w:eastAsia="Times New Roman" w:hAnsi="Verdana" w:cs="Arial"/>
          <w:sz w:val="24"/>
          <w:szCs w:val="24"/>
          <w:lang w:val="es-ES" w:eastAsia="es-ES"/>
        </w:rPr>
        <w:t xml:space="preserve"> Adentrándose en lo que considera las diferencias esenciales entre la interpretación legal y la constitucional, Dalla Vía advierte que ella no se encuentra sólo en las </w:t>
      </w:r>
      <w:r w:rsidRPr="00186518">
        <w:rPr>
          <w:rFonts w:ascii="Verdana" w:eastAsia="Times New Roman" w:hAnsi="Verdana" w:cs="Arial"/>
          <w:sz w:val="24"/>
          <w:szCs w:val="24"/>
          <w:lang w:val="es-ES" w:eastAsia="es-ES"/>
        </w:rPr>
        <w:lastRenderedPageBreak/>
        <w:t xml:space="preserve">peculiaridades del objeto, sino también en la función que se atribuye a los órganos encargados de realizarla. </w:t>
      </w:r>
    </w:p>
    <w:p w14:paraId="2288DE44"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En este aspecto, una de las características del juez ordinario es lo que pudiera llamarse “unidad de solución justa”. Esto es la exigencia institucional de que, en presencia de un caso concreto, sólo cabe una interpretación correcta, mientras que, en cambio, la misión de la justicia constitucional no es tanto la de precisar la “mejor” o la “única” respuesta posible, sino más bien delimitar el camino dentro del cual la “interpretación posible” resulta admisible o no arbitraria”.</w:t>
      </w:r>
      <w:r w:rsidRPr="00186518">
        <w:rPr>
          <w:rFonts w:ascii="Verdana" w:eastAsia="Times New Roman" w:hAnsi="Verdana" w:cs="Arial"/>
          <w:sz w:val="24"/>
          <w:szCs w:val="24"/>
          <w:vertAlign w:val="superscript"/>
          <w:lang w:val="es-ES" w:eastAsia="es-ES"/>
        </w:rPr>
        <w:footnoteReference w:id="20"/>
      </w:r>
      <w:r w:rsidRPr="00186518">
        <w:rPr>
          <w:rFonts w:ascii="Verdana" w:eastAsia="Times New Roman" w:hAnsi="Verdana" w:cs="Arial"/>
          <w:sz w:val="24"/>
          <w:szCs w:val="24"/>
          <w:lang w:val="es-ES" w:eastAsia="es-ES"/>
        </w:rPr>
        <w:t xml:space="preserve">  Vale la pena advertir que, nuevamente, las diferencias para este autor radican en una cuestión de importancia e “intensidad”, pero no de métodos concretos, los cuales parecen ser similares a los utilizados en la interpretación de la ley. </w:t>
      </w:r>
    </w:p>
    <w:p w14:paraId="77C3AAC5"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También destaca el autor reseñado la existencia de algunos principios jurídicos que deberían orientar la labor de los jueces en la interpretación constitucional. Entre ellos destaca los de: unidad del texto constitucional, concordancia entre las diferentes normas constitucionales, efectividad de la constitución, fuerza integradora y fuerza normativa de la constitución (a los fines de no considerarla un mero programa político, sino una norma jurídica plena). </w:t>
      </w:r>
    </w:p>
    <w:p w14:paraId="7F9BF155" w14:textId="77777777" w:rsidR="00412170"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El autor señala asimismo en otra de sus obra que, en el caso de la Constitución Argentina reformada en 1994, hay que acudir a distintos principios o directivas interpretativas ya que la mezcla de tendencias se enfatiza con mayor claridad a partir de dicha reforma, donde el constituyente reformador se apartó de su fuente tradicional estadounidense y en materia de derecho comparado se inclinó </w:t>
      </w:r>
      <w:r w:rsidRPr="00186518">
        <w:rPr>
          <w:rFonts w:ascii="Verdana" w:eastAsia="Times New Roman" w:hAnsi="Verdana" w:cs="Arial"/>
          <w:sz w:val="24"/>
          <w:szCs w:val="24"/>
          <w:lang w:val="es-ES" w:eastAsia="es-ES"/>
        </w:rPr>
        <w:lastRenderedPageBreak/>
        <w:t>mayormente por el derecho constitucional europeo y, especialmente, por la influencia que denota la Constitución Española de 1978.</w:t>
      </w:r>
      <w:r w:rsidRPr="00186518">
        <w:rPr>
          <w:rFonts w:ascii="Verdana" w:eastAsia="Times New Roman" w:hAnsi="Verdana" w:cs="Arial"/>
          <w:sz w:val="24"/>
          <w:szCs w:val="24"/>
          <w:vertAlign w:val="superscript"/>
          <w:lang w:val="es-ES" w:eastAsia="es-ES"/>
        </w:rPr>
        <w:footnoteReference w:id="21"/>
      </w:r>
    </w:p>
    <w:p w14:paraId="3F0231EC" w14:textId="77777777" w:rsidR="00412170"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Horacio Rosatti predica la existencia de principios orientadores de la interpretación constitucional. Para este jurista, un principio es una norma o idea que dirige el pensamiento o la conducta, y la función de esos principios radica en mantener la unidad del texto constitucional. Por ello afirma que el sistema constitucional argentino reconoce tres principios interpretativos en el sentido indicado: el de juridicidad (también conocido como de legalidad), el de igualdad y el de razonabilidad.</w:t>
      </w:r>
      <w:r w:rsidRPr="00186518">
        <w:rPr>
          <w:rFonts w:ascii="Verdana" w:eastAsia="Times New Roman" w:hAnsi="Verdana" w:cs="Arial"/>
          <w:sz w:val="24"/>
          <w:szCs w:val="24"/>
          <w:vertAlign w:val="superscript"/>
          <w:lang w:val="es-ES" w:eastAsia="es-ES"/>
        </w:rPr>
        <w:footnoteReference w:id="22"/>
      </w:r>
    </w:p>
    <w:p w14:paraId="178C0693" w14:textId="5162311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Por su parte, María Sandra Flores expone los criterios del iusfilósofo polaco Jerzy Wróblewsky sobre el tema. Este autor expone las características que hacen especial a la interpretación constitucional atendiendo principalmente a sus funciones. La primera de ellas es la función de orientación, por la que se fijan criterios para juzgar qué comportamientos son acordes o no a las reglas constitucionales. La segunda es la función de aplicación, que regula las decisiones administrativas y judiciales. La tercera es la de control, que ejerce la función de custodiar el cumplimiento de la Constitución por parte de las normas infraconstitucionales.</w:t>
      </w:r>
      <w:r w:rsidRPr="00186518">
        <w:rPr>
          <w:rFonts w:ascii="Verdana" w:eastAsia="Times New Roman" w:hAnsi="Verdana" w:cs="Arial"/>
          <w:sz w:val="24"/>
          <w:szCs w:val="24"/>
          <w:vertAlign w:val="superscript"/>
          <w:lang w:val="es-ES" w:eastAsia="es-ES"/>
        </w:rPr>
        <w:footnoteReference w:id="23"/>
      </w:r>
    </w:p>
    <w:p w14:paraId="71E4FFA7" w14:textId="5241FA28"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Otra cuestión relacionada con la interpretación de las normas constitucionales tiene que ver en particular con que, en virtud de la generalidad y amplitud de las disposiciones que integran una constitución, muchas de ellas pueden ser consideradas por parte de la doctrina como principios jurídicos, más que como reglas en sentido </w:t>
      </w:r>
      <w:r w:rsidRPr="00186518">
        <w:rPr>
          <w:rFonts w:ascii="Verdana" w:eastAsia="Times New Roman" w:hAnsi="Verdana" w:cs="Arial"/>
          <w:sz w:val="24"/>
          <w:szCs w:val="24"/>
          <w:lang w:val="es-ES" w:eastAsia="es-ES"/>
        </w:rPr>
        <w:lastRenderedPageBreak/>
        <w:t>estricto. En tal sentido, fue el filósofo del derecho estadounidense Ronald Dworkin el que, en su clásica obra Los derechos en serio, y, a los efectos de criticar el positivismo jurídico, ideó un “sistema de reglas y principios”, en función de las siguientes características: a) las reglas de un sistema son aplicables “todo o nada”, b) los principios, por el contrario, están sujetos a ponderación y tienen la propiedad del mayor o menor peso frente a otros principios, c) las reglas tienen una validez estricta, d) los principios pueden ser desplazados en un caso por otros principios, e) en los casos difíciles los jueces deben guiarse por los principios.</w:t>
      </w:r>
      <w:r w:rsidRPr="00186518">
        <w:rPr>
          <w:rFonts w:ascii="Verdana" w:eastAsia="Times New Roman" w:hAnsi="Verdana" w:cs="Arial"/>
          <w:sz w:val="24"/>
          <w:szCs w:val="24"/>
          <w:vertAlign w:val="superscript"/>
          <w:lang w:val="es-ES" w:eastAsia="es-ES"/>
        </w:rPr>
        <w:footnoteReference w:id="24"/>
      </w:r>
      <w:r w:rsidRPr="00186518">
        <w:rPr>
          <w:rFonts w:ascii="Verdana" w:eastAsia="Times New Roman" w:hAnsi="Verdana" w:cs="Arial"/>
          <w:sz w:val="24"/>
          <w:szCs w:val="24"/>
          <w:lang w:val="es-ES" w:eastAsia="es-ES"/>
        </w:rPr>
        <w:t xml:space="preserve"> </w:t>
      </w:r>
    </w:p>
    <w:p w14:paraId="7930AA18"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Esta posición, cuyo antecedente es la clásica noción de los Principios Generales del Derecho, se vio perfeccionada por el jurista alemán Robert Alexy, en su Teoría de los Derechos fundamentales. Dicho iusfilósofo considera que tanto las reglas como los principios son en realidad normas. La diferencia radicaría en que las reglas son normas que solamente pueden ser cumplidas o no, mientras que los principios son normas que enuncian en realidad mandatos de optimización, que pueden ser satisfechos en diferente grado. Considero muy importante a esta distinción para el ámbito del Derecho Constitucional. Y dicha importancia tiene además especial relevancia en el campo de la hermenéutica, ya que deviene fundamental la interpretación de los principios constitucionales. Y en ese sentido, es de primordial importancia la interpretación judicial de dichos principios. </w:t>
      </w:r>
    </w:p>
    <w:p w14:paraId="5AFA4172" w14:textId="5F9F0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Prosiguiendo con el tema, y desde una posición iusnaturalista, Rodolfo Vigo</w:t>
      </w:r>
      <w:r w:rsidRPr="00186518">
        <w:rPr>
          <w:rFonts w:ascii="Verdana" w:eastAsia="Times New Roman" w:hAnsi="Verdana" w:cs="Arial"/>
          <w:sz w:val="24"/>
          <w:szCs w:val="24"/>
          <w:vertAlign w:val="superscript"/>
          <w:lang w:val="es-ES" w:eastAsia="es-ES"/>
        </w:rPr>
        <w:footnoteReference w:id="25"/>
      </w:r>
      <w:r w:rsidRPr="00186518">
        <w:rPr>
          <w:rFonts w:ascii="Verdana" w:eastAsia="Times New Roman" w:hAnsi="Verdana" w:cs="Arial"/>
          <w:sz w:val="24"/>
          <w:szCs w:val="24"/>
          <w:lang w:val="es-ES" w:eastAsia="es-ES"/>
        </w:rPr>
        <w:t xml:space="preserve"> señala que el ordenamiento jurídico posee principios en sentido “estricto”, a los cuales relaciona con los derechos fundamentales o </w:t>
      </w:r>
      <w:r w:rsidRPr="00186518">
        <w:rPr>
          <w:rFonts w:ascii="Verdana" w:eastAsia="Times New Roman" w:hAnsi="Verdana" w:cs="Arial"/>
          <w:sz w:val="24"/>
          <w:szCs w:val="24"/>
          <w:lang w:val="es-ES" w:eastAsia="es-ES"/>
        </w:rPr>
        <w:lastRenderedPageBreak/>
        <w:t>naturales. Estos principios estrictos le</w:t>
      </w:r>
      <w:r w:rsidR="00A8270C">
        <w:rPr>
          <w:rFonts w:ascii="Verdana" w:eastAsia="Times New Roman" w:hAnsi="Verdana" w:cs="Arial"/>
          <w:sz w:val="24"/>
          <w:szCs w:val="24"/>
          <w:lang w:val="es-ES" w:eastAsia="es-ES"/>
        </w:rPr>
        <w:t>s</w:t>
      </w:r>
      <w:r w:rsidRPr="00186518">
        <w:rPr>
          <w:rFonts w:ascii="Verdana" w:eastAsia="Times New Roman" w:hAnsi="Verdana" w:cs="Arial"/>
          <w:sz w:val="24"/>
          <w:szCs w:val="24"/>
          <w:lang w:val="es-ES" w:eastAsia="es-ES"/>
        </w:rPr>
        <w:t xml:space="preserve"> corresponderían a los todos los hombres en su condición de tales, y tienen una estrecha relación con los valores, propios del campo de la ética. </w:t>
      </w:r>
    </w:p>
    <w:p w14:paraId="4DAD8D74" w14:textId="098A939A"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Señala Vigo que la jurisprudencia es justamente el ámbito privilegiado de reconocimento y operatividad de los principios jurídicos. Y entiendo que</w:t>
      </w:r>
      <w:r w:rsidR="00A87BF4">
        <w:rPr>
          <w:rFonts w:ascii="Verdana" w:eastAsia="Times New Roman" w:hAnsi="Verdana" w:cs="Arial"/>
          <w:sz w:val="24"/>
          <w:szCs w:val="24"/>
          <w:lang w:val="es-ES" w:eastAsia="es-ES"/>
        </w:rPr>
        <w:t>,</w:t>
      </w:r>
      <w:r w:rsidRPr="00186518">
        <w:rPr>
          <w:rFonts w:ascii="Verdana" w:eastAsia="Times New Roman" w:hAnsi="Verdana" w:cs="Arial"/>
          <w:sz w:val="24"/>
          <w:szCs w:val="24"/>
          <w:lang w:val="es-ES" w:eastAsia="es-ES"/>
        </w:rPr>
        <w:t xml:space="preserve"> en el proceso de reconocimiento y operatividad de esos principios, muy propios del Derecho en general y en especial del Derecho Constitucional tiene mucho que ver la tarea interpretativa. Más de una vez, los jueces, al interpretar la constitución, identifican o construyen principios. Y esa es una de las peculiaridades o particularidades más relevantes de la interpretación de las disposiciones constitucionales. </w:t>
      </w:r>
    </w:p>
    <w:p w14:paraId="16186938" w14:textId="5C0146E3"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Por su parte, Pavel Holländer resalta también con claridad las particularidades de la interpretación en el campo del Derecho Constitucional, al afirmar que, en contraposición a la interpretación del derecho común, la interpretación del derecho constitucional se basa más en la interpretación de los fines que en la interpretación de las obligaciones y facultades. Por ello una cuestión metodológica fundamental de la interpretación constitucional, como la interpretación de los principios, es una forma de “reconstrucción” de los fines constitucionales.</w:t>
      </w:r>
      <w:r w:rsidRPr="00186518">
        <w:rPr>
          <w:rFonts w:ascii="Verdana" w:eastAsia="Times New Roman" w:hAnsi="Verdana" w:cs="Arial"/>
          <w:sz w:val="24"/>
          <w:szCs w:val="24"/>
          <w:vertAlign w:val="superscript"/>
          <w:lang w:val="es-ES" w:eastAsia="es-ES"/>
        </w:rPr>
        <w:footnoteReference w:id="26"/>
      </w:r>
    </w:p>
    <w:p w14:paraId="41894729" w14:textId="3809500D"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Desde otra perspectiva, Juan Vicente Sola sostiene el carácter inevitable de la interpretación constitucional, distinguiendo </w:t>
      </w:r>
      <w:r w:rsidR="00A87BF4">
        <w:rPr>
          <w:rFonts w:ascii="Verdana" w:eastAsia="Times New Roman" w:hAnsi="Verdana" w:cs="Arial"/>
          <w:sz w:val="24"/>
          <w:szCs w:val="24"/>
          <w:lang w:val="es-ES" w:eastAsia="es-ES"/>
        </w:rPr>
        <w:t>sus</w:t>
      </w:r>
      <w:r w:rsidRPr="00186518">
        <w:rPr>
          <w:rFonts w:ascii="Verdana" w:eastAsia="Times New Roman" w:hAnsi="Verdana" w:cs="Arial"/>
          <w:sz w:val="24"/>
          <w:szCs w:val="24"/>
          <w:lang w:val="es-ES" w:eastAsia="es-ES"/>
        </w:rPr>
        <w:t xml:space="preserve"> alcances según el tipo de constitución de que se trate. En este orden de ideas, el mencionado jurista destaca que se debe interpretar la Constitución de modo similar al que se debe interpretar la ley. A través de esta tarea se pasa de la lectura política, ideológica o simplemente empírica para llegar </w:t>
      </w:r>
      <w:r w:rsidRPr="00186518">
        <w:rPr>
          <w:rFonts w:ascii="Verdana" w:eastAsia="Times New Roman" w:hAnsi="Verdana" w:cs="Arial"/>
          <w:sz w:val="24"/>
          <w:szCs w:val="24"/>
          <w:lang w:val="es-ES" w:eastAsia="es-ES"/>
        </w:rPr>
        <w:lastRenderedPageBreak/>
        <w:t>a la lectura jurídica del texto constitucional. El trabajo interpretativo tiene variaciones que responden a las características del texto constitucional. En las constituciones históricas, con textos genéricos y elásticos, que tienen una vieja tradición de interpretación judicial, existe mayor libertad para el análisis. Es el caso de la Constitución Argentina y de los Estados Unidos, por ejemplo. En cambio, las constituciones más recientes de redacción analítica y extensa, donde parece haberse querido verter la “recta razón” en sus preceptos, la limitación interpretativa es mayor. Aparecen como imágenes en este caso la Ley Fundamental de Alemania y la Constitución de Brasil de 1988.</w:t>
      </w:r>
      <w:r w:rsidRPr="00186518">
        <w:rPr>
          <w:rFonts w:ascii="Verdana" w:eastAsia="Times New Roman" w:hAnsi="Verdana" w:cs="Arial"/>
          <w:sz w:val="24"/>
          <w:szCs w:val="24"/>
          <w:vertAlign w:val="superscript"/>
          <w:lang w:val="es-ES" w:eastAsia="es-ES"/>
        </w:rPr>
        <w:footnoteReference w:id="27"/>
      </w:r>
    </w:p>
    <w:p w14:paraId="4A7BC41D" w14:textId="5850D78A"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Otro aspecto que hay que resaltar acerca de la especificidad de la interpretación constitucional radica en la importancia de los precedentes jurisprudenciales en la materia. En este sentido, Daniel Sabsay señala que se debe considerar el valor que tienen en esta materia los precedentes jurisprudenciales, ya cuanto obligan a que en el futuro los jueces deban respetarlos en los casos en que les toca fallar. Ello configura una importante manifestación del principio de seguridad jurídica o, cuanto menos una herramienta que otorga previsibilidad en el campo de las decisiones de la justicia.</w:t>
      </w:r>
      <w:r w:rsidRPr="00186518">
        <w:rPr>
          <w:rFonts w:ascii="Verdana" w:eastAsia="Times New Roman" w:hAnsi="Verdana" w:cs="Arial"/>
          <w:sz w:val="24"/>
          <w:szCs w:val="24"/>
          <w:vertAlign w:val="superscript"/>
          <w:lang w:val="es-ES" w:eastAsia="es-ES"/>
        </w:rPr>
        <w:footnoteReference w:id="28"/>
      </w:r>
      <w:r w:rsidRPr="00186518">
        <w:rPr>
          <w:rFonts w:ascii="Verdana" w:eastAsia="Times New Roman" w:hAnsi="Verdana" w:cs="Arial"/>
          <w:sz w:val="24"/>
          <w:szCs w:val="24"/>
          <w:lang w:val="es-ES" w:eastAsia="es-ES"/>
        </w:rPr>
        <w:t xml:space="preserve"> </w:t>
      </w:r>
    </w:p>
    <w:p w14:paraId="091F6CAC"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Sin embargo, y poniendo la cuestión en su justo cauce, el autor señala que la importancia de los precedentes jurisprudenciales no debe impedir la evolución de la jurisprudencia de los tribunales, producto de los inevitables cambios económicos, sociales y culturales que influyen sobre el ordenamiento jurídico.</w:t>
      </w:r>
      <w:r w:rsidRPr="00186518">
        <w:rPr>
          <w:rFonts w:ascii="Verdana" w:eastAsia="Times New Roman" w:hAnsi="Verdana" w:cs="Arial"/>
          <w:sz w:val="24"/>
          <w:szCs w:val="24"/>
          <w:vertAlign w:val="superscript"/>
          <w:lang w:val="es-ES" w:eastAsia="es-ES"/>
        </w:rPr>
        <w:footnoteReference w:id="29"/>
      </w:r>
    </w:p>
    <w:p w14:paraId="1598B7B0" w14:textId="3069BAA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Por su parte, César Enrique Romero sintetiza la necesidad de concebir a la Constitución, y, por consiguiente</w:t>
      </w:r>
      <w:r w:rsidR="003709C4">
        <w:rPr>
          <w:rFonts w:ascii="Verdana" w:eastAsia="Times New Roman" w:hAnsi="Verdana" w:cs="Arial"/>
          <w:sz w:val="24"/>
          <w:szCs w:val="24"/>
          <w:lang w:val="es-ES" w:eastAsia="es-ES"/>
        </w:rPr>
        <w:t>,</w:t>
      </w:r>
      <w:r w:rsidRPr="00186518">
        <w:rPr>
          <w:rFonts w:ascii="Verdana" w:eastAsia="Times New Roman" w:hAnsi="Verdana" w:cs="Arial"/>
          <w:sz w:val="24"/>
          <w:szCs w:val="24"/>
          <w:lang w:val="es-ES" w:eastAsia="es-ES"/>
        </w:rPr>
        <w:t xml:space="preserve"> a su interpretación, en el marco del </w:t>
      </w:r>
      <w:r w:rsidRPr="00186518">
        <w:rPr>
          <w:rFonts w:ascii="Verdana" w:eastAsia="Times New Roman" w:hAnsi="Verdana" w:cs="Arial"/>
          <w:sz w:val="24"/>
          <w:szCs w:val="24"/>
          <w:lang w:val="es-ES" w:eastAsia="es-ES"/>
        </w:rPr>
        <w:lastRenderedPageBreak/>
        <w:t>contexto histórico social y económico. En este orden de ideas este jurista señala que toda Constitución es en realidad una transacción. Y que influyen sobre ella factores diferentes, de tipo histórico, filosófico, económico, técnico y cultural. La Constitución –para este autor- es la ley suprema destinada a regir por un tiempo muy extenso a una comunidad, asegurando un orden de convivencia fecundo entre hombres que piensan, trabajan, sueñan y sufren. So horizonte es el bienestar general, el bien común.</w:t>
      </w:r>
      <w:r w:rsidRPr="00186518">
        <w:rPr>
          <w:rFonts w:ascii="Verdana" w:eastAsia="Times New Roman" w:hAnsi="Verdana" w:cs="Arial"/>
          <w:sz w:val="24"/>
          <w:szCs w:val="24"/>
          <w:vertAlign w:val="superscript"/>
          <w:lang w:val="es-ES" w:eastAsia="es-ES"/>
        </w:rPr>
        <w:footnoteReference w:id="30"/>
      </w:r>
    </w:p>
    <w:p w14:paraId="1ECB8D11" w14:textId="632A5343"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Otro aspecto importante que debemos tener en cuenta al interpretar en concreto la Constitución de nuestro país, es la influencia del Derecho Internacional de los Derechos Humanos luego de la Reforma Constitucional de 1994. En efecto, luego de la sanción del artículo 75 inciso 22 CN hay disposiciones de fuente internacional que gozan de la misma jerarquía que la norma suprema, y por ello deben ser tenidas en cuenta por los jueces en el momento de la resolución de una causa. </w:t>
      </w:r>
    </w:p>
    <w:p w14:paraId="01EF8C83"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En este sentido, Eduardo Pablo Jiménez sostiene que el plexo normativo incorporado sobre Derechos Humanos, de modo similar a lo que ocurre en los sistemas español y alemán, una vez adquirida tal jerarquía constitucional, se erige en una pauta de valoración obligatoria para los poderes Públicos.</w:t>
      </w:r>
      <w:r w:rsidRPr="00186518">
        <w:rPr>
          <w:rFonts w:ascii="Verdana" w:eastAsia="Times New Roman" w:hAnsi="Verdana" w:cs="Arial"/>
          <w:sz w:val="24"/>
          <w:szCs w:val="24"/>
          <w:vertAlign w:val="superscript"/>
          <w:lang w:val="es-ES" w:eastAsia="es-ES"/>
        </w:rPr>
        <w:footnoteReference w:id="31"/>
      </w:r>
    </w:p>
    <w:p w14:paraId="5DEE2E11" w14:textId="4BA41A2F"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En un interesante aporte, Carmona Tinoco describe y explica tres funciones de la interpretación judicial de la Constitución. A la primera la denomina función de orientación, y señala que la misma permite a los órganos aplicadores de la Constitución y a los destinatarios de dichas normas, encauzar sus actos de acuerdo con lo ordenado por la </w:t>
      </w:r>
      <w:r w:rsidRPr="00186518">
        <w:rPr>
          <w:rFonts w:ascii="Verdana" w:eastAsia="Times New Roman" w:hAnsi="Verdana" w:cs="Arial"/>
          <w:sz w:val="24"/>
          <w:szCs w:val="24"/>
          <w:lang w:val="es-ES" w:eastAsia="es-ES"/>
        </w:rPr>
        <w:lastRenderedPageBreak/>
        <w:t>Constitución.</w:t>
      </w:r>
      <w:r w:rsidRPr="00186518">
        <w:rPr>
          <w:rFonts w:ascii="Verdana" w:eastAsia="Times New Roman" w:hAnsi="Verdana" w:cs="Arial"/>
          <w:sz w:val="24"/>
          <w:szCs w:val="24"/>
          <w:vertAlign w:val="superscript"/>
          <w:lang w:val="es-ES" w:eastAsia="es-ES"/>
        </w:rPr>
        <w:footnoteReference w:id="32"/>
      </w:r>
      <w:r w:rsidRPr="00186518">
        <w:rPr>
          <w:rFonts w:ascii="Verdana" w:eastAsia="Times New Roman" w:hAnsi="Verdana" w:cs="Arial"/>
          <w:sz w:val="24"/>
          <w:szCs w:val="24"/>
          <w:lang w:val="es-ES" w:eastAsia="es-ES"/>
        </w:rPr>
        <w:t xml:space="preserve"> La segunda función, según el autor, es la de actualización. Y la misma se lleva adelante cuando la interpretación constitucional es usada para la adecuación del texto constitucional a las nuevas situaciones que la vida social va ofreciendo, y que en algunas veces derivan en un distanciamiento con lo que la norma constitucional establece.</w:t>
      </w:r>
      <w:r w:rsidRPr="00186518">
        <w:rPr>
          <w:rFonts w:ascii="Verdana" w:eastAsia="Times New Roman" w:hAnsi="Verdana" w:cs="Arial"/>
          <w:sz w:val="24"/>
          <w:szCs w:val="24"/>
          <w:vertAlign w:val="superscript"/>
          <w:lang w:val="es-ES" w:eastAsia="es-ES"/>
        </w:rPr>
        <w:footnoteReference w:id="33"/>
      </w:r>
      <w:r w:rsidRPr="00186518">
        <w:rPr>
          <w:rFonts w:ascii="Verdana" w:eastAsia="Times New Roman" w:hAnsi="Verdana" w:cs="Arial"/>
          <w:sz w:val="24"/>
          <w:szCs w:val="24"/>
          <w:lang w:val="es-ES" w:eastAsia="es-ES"/>
        </w:rPr>
        <w:t xml:space="preserve"> Es, entonces, un mecanismo para adecuar una Constitución a los cambios sociales, y</w:t>
      </w:r>
      <w:r w:rsidR="008C3047">
        <w:rPr>
          <w:rFonts w:ascii="Verdana" w:eastAsia="Times New Roman" w:hAnsi="Verdana" w:cs="Arial"/>
          <w:sz w:val="24"/>
          <w:szCs w:val="24"/>
          <w:lang w:val="es-ES" w:eastAsia="es-ES"/>
        </w:rPr>
        <w:t>,</w:t>
      </w:r>
      <w:r w:rsidRPr="00186518">
        <w:rPr>
          <w:rFonts w:ascii="Verdana" w:eastAsia="Times New Roman" w:hAnsi="Verdana" w:cs="Arial"/>
          <w:sz w:val="24"/>
          <w:szCs w:val="24"/>
          <w:lang w:val="es-ES" w:eastAsia="es-ES"/>
        </w:rPr>
        <w:t xml:space="preserve"> por ende, podría relacionarla con la interpretación dinámica que se verá posteriormente. </w:t>
      </w:r>
    </w:p>
    <w:p w14:paraId="156A3007"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Y, finalmente, la tercera función que describe Carmona Tinoco es la de control. Sobre la misma señala que es la más difundida y la que mejor se aprecia en el juez constitucional. Y agrega que la interpretación judicial de la Constitución sirve para delimitar las facultades que a cada órgano corresponden de acuerdo con la norma suprema, el alcance de dichas facultades en relación con los otros órganos y con los individuos. Esto permite resaltar la estrecha relación que hay entre la interpretación judicial constitucional y la justicia constitucional.</w:t>
      </w:r>
      <w:r w:rsidRPr="00186518">
        <w:rPr>
          <w:rFonts w:ascii="Verdana" w:eastAsia="Times New Roman" w:hAnsi="Verdana" w:cs="Arial"/>
          <w:sz w:val="24"/>
          <w:szCs w:val="24"/>
          <w:vertAlign w:val="superscript"/>
          <w:lang w:val="es-ES" w:eastAsia="es-ES"/>
        </w:rPr>
        <w:footnoteReference w:id="34"/>
      </w:r>
      <w:r w:rsidRPr="00186518">
        <w:rPr>
          <w:rFonts w:ascii="Verdana" w:eastAsia="Times New Roman" w:hAnsi="Verdana" w:cs="Arial"/>
          <w:sz w:val="24"/>
          <w:szCs w:val="24"/>
          <w:lang w:val="es-ES" w:eastAsia="es-ES"/>
        </w:rPr>
        <w:t xml:space="preserve"> Volveremos sobre este tema posteriormente. </w:t>
      </w:r>
    </w:p>
    <w:p w14:paraId="6A1E2006" w14:textId="64628798"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Tal como ya se ha señalado, la Constitución debe ser interpretada con criterio amplio, pragmático y realista. No se puede limitar esa hermenéutica bajo argumentos o condicionamientos exclusivamente técnicos, prescindiendo de la realidad que la circunda. El intérprete debe tener siempre en cuenta que lo que está interpretando es la Ley de Leyes. Este enfoque o directiva metodológica es clave para comprender los aspectos particulares o específicos de la interpretación constitucional. También puede relacionarse siempre al enfoque pragmático con el finalista o teleológico. </w:t>
      </w:r>
    </w:p>
    <w:p w14:paraId="20BF7D18"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lastRenderedPageBreak/>
        <w:t>Los preceptos constitucionales no son fórmulas matemáticas, sino que configuran instituciones vivientes. Su significado es entonces más vital que formal. En este sentido, debe destacarse la función de la Constitución como norma suprema (principio de supremacía constitucional) y como instrumento eficaz de gobierno.</w:t>
      </w:r>
      <w:r w:rsidRPr="00186518">
        <w:rPr>
          <w:rFonts w:ascii="Verdana" w:eastAsia="Times New Roman" w:hAnsi="Verdana" w:cs="Arial"/>
          <w:sz w:val="24"/>
          <w:szCs w:val="24"/>
          <w:vertAlign w:val="superscript"/>
          <w:lang w:val="es-ES" w:eastAsia="es-ES"/>
        </w:rPr>
        <w:footnoteReference w:id="35"/>
      </w:r>
      <w:r w:rsidRPr="00186518">
        <w:rPr>
          <w:rFonts w:ascii="Verdana" w:eastAsia="Times New Roman" w:hAnsi="Verdana" w:cs="Arial"/>
          <w:sz w:val="24"/>
          <w:szCs w:val="24"/>
          <w:lang w:val="es-ES" w:eastAsia="es-ES"/>
        </w:rPr>
        <w:t xml:space="preserve">  Este método preconiza entonces interpretar la norma constitucional con criterio realista y práctico, priorizando la eficacia y el adecuado funcionamiento de las instituciones y la garantía de los derechos. </w:t>
      </w:r>
    </w:p>
    <w:p w14:paraId="6D2EBF4F" w14:textId="0E84F866"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Una proyección de este criterio se desliza hacia el significado que deben asignarse a sus palabras. En este sentido es conveniente tomar a las mismas en su sentido más natural y obvio. </w:t>
      </w:r>
    </w:p>
    <w:p w14:paraId="356E1F61" w14:textId="54A2D702"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Nuestra Corte Suprema ha receptado el enfoque o método pragmático señalando en este sentido: “la Constitución ha de ser interpretada de modo que sus limitaciones no traben el eficaz y justo desempeño de los poderes atribuidos al Estado a los efectos del cumplimiento de sus fines del modo más beneficioso para la comunidad.”</w:t>
      </w:r>
      <w:r w:rsidRPr="00186518">
        <w:rPr>
          <w:rFonts w:ascii="Verdana" w:eastAsia="Times New Roman" w:hAnsi="Verdana" w:cs="Arial"/>
          <w:sz w:val="24"/>
          <w:szCs w:val="24"/>
          <w:vertAlign w:val="superscript"/>
          <w:lang w:val="es-ES" w:eastAsia="es-ES"/>
        </w:rPr>
        <w:footnoteReference w:id="36"/>
      </w:r>
      <w:r w:rsidRPr="00186518">
        <w:rPr>
          <w:rFonts w:ascii="Verdana" w:eastAsia="Times New Roman" w:hAnsi="Verdana" w:cs="Arial"/>
          <w:sz w:val="24"/>
          <w:szCs w:val="24"/>
          <w:lang w:val="es-ES" w:eastAsia="es-ES"/>
        </w:rPr>
        <w:t xml:space="preserve"> En el mismo camino, en otra oportunidad nuestro Máximo Tribunal sostuvo que: “…entre las reglas de interpretación que han establecido la doctrina y decisiones de la Corte norteamericana, se encuentra la de que la Constitución debe recibir una interpretación práctica. No debe darse a sus limitaciones y prohibiciones una extensión que destruya los poderes necesarios de los Estados o trabe su ejercicio eficaz…”</w:t>
      </w:r>
      <w:r w:rsidRPr="00186518">
        <w:rPr>
          <w:rFonts w:ascii="Verdana" w:eastAsia="Times New Roman" w:hAnsi="Verdana" w:cs="Arial"/>
          <w:sz w:val="24"/>
          <w:szCs w:val="24"/>
          <w:vertAlign w:val="superscript"/>
          <w:lang w:val="es-ES" w:eastAsia="es-ES"/>
        </w:rPr>
        <w:footnoteReference w:id="37"/>
      </w:r>
      <w:r w:rsidRPr="00186518">
        <w:rPr>
          <w:rFonts w:ascii="Verdana" w:eastAsia="Times New Roman" w:hAnsi="Verdana" w:cs="Arial"/>
          <w:sz w:val="24"/>
          <w:szCs w:val="24"/>
          <w:lang w:val="es-ES" w:eastAsia="es-ES"/>
        </w:rPr>
        <w:t xml:space="preserve">. </w:t>
      </w:r>
    </w:p>
    <w:p w14:paraId="5CB69272" w14:textId="528535B9"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Finalmente, como tercer ejemplo de utilización del método pragmático, la Corte estableció que: “…la función más importante de esta Corte consiste en interpretar la Constitución de modo que el ejercicio de la autoridad nacional o provincial se desenvuelva armoniosamente, evitando interferencias o roces susceptibles de acrecentar los poderes </w:t>
      </w:r>
      <w:r w:rsidRPr="00186518">
        <w:rPr>
          <w:rFonts w:ascii="Verdana" w:eastAsia="Times New Roman" w:hAnsi="Verdana" w:cs="Arial"/>
          <w:sz w:val="24"/>
          <w:szCs w:val="24"/>
          <w:lang w:val="es-ES" w:eastAsia="es-ES"/>
        </w:rPr>
        <w:lastRenderedPageBreak/>
        <w:t>del gobierno central en detrimento de las facultades provinciales, y viceversa. Del logro de ese equilibrio debe resultar la amalgama perfecta que Alberdi propiciaba mediante la coexistencia de dos órdenes gobiernos cuyos órganos actuaran en órbitas debiendo encontrarse sólo para ayudarse</w:t>
      </w:r>
      <w:r w:rsidR="00CC42E0">
        <w:rPr>
          <w:rFonts w:ascii="Verdana" w:eastAsia="Times New Roman" w:hAnsi="Verdana" w:cs="Arial"/>
          <w:sz w:val="24"/>
          <w:szCs w:val="24"/>
          <w:lang w:val="es-ES" w:eastAsia="es-ES"/>
        </w:rPr>
        <w:t>,</w:t>
      </w:r>
      <w:r w:rsidRPr="00186518">
        <w:rPr>
          <w:rFonts w:ascii="Verdana" w:eastAsia="Times New Roman" w:hAnsi="Verdana" w:cs="Arial"/>
          <w:sz w:val="24"/>
          <w:szCs w:val="24"/>
          <w:lang w:val="es-ES" w:eastAsia="es-ES"/>
        </w:rPr>
        <w:t xml:space="preserve"> pero nunca para destruirse…”</w:t>
      </w:r>
      <w:r w:rsidRPr="00186518">
        <w:rPr>
          <w:rFonts w:ascii="Verdana" w:eastAsia="Times New Roman" w:hAnsi="Verdana" w:cs="Arial"/>
          <w:sz w:val="24"/>
          <w:szCs w:val="24"/>
          <w:vertAlign w:val="superscript"/>
          <w:lang w:val="es-ES" w:eastAsia="es-ES"/>
        </w:rPr>
        <w:footnoteReference w:id="38"/>
      </w:r>
      <w:r w:rsidRPr="00186518">
        <w:rPr>
          <w:rFonts w:ascii="Verdana" w:eastAsia="Times New Roman" w:hAnsi="Verdana" w:cs="Arial"/>
          <w:sz w:val="24"/>
          <w:szCs w:val="24"/>
          <w:lang w:val="es-ES" w:eastAsia="es-ES"/>
        </w:rPr>
        <w:t xml:space="preserve">. </w:t>
      </w:r>
    </w:p>
    <w:p w14:paraId="631D00D2"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Como puede apreciarse, este método o enfoque interpretativo suele utilizarse en aquellos casos en que se ventilan cuestiones relacionadas con la amplitud o alcance de las atribuciones del gobierno. Por consiguiente, su peligro radicará en un permisivismo excesivo en favor de las competencias de los órganos del poder, sobre todo en las situaciones de emergencia constitucional, muy frecuentes en nuestro país. Es un método importante, pero entraña sus peligros si el intérprete olvida que la norma constitucional tiene una finalidad garantista. No debe convertirse en la justificación de cualquier decisión estatal, lo cual nos llevaría al dominio de la Razón de Estado. </w:t>
      </w:r>
    </w:p>
    <w:p w14:paraId="6AB55739" w14:textId="77777777" w:rsidR="00186518" w:rsidRPr="00186518" w:rsidRDefault="00186518" w:rsidP="00AE689A">
      <w:pPr>
        <w:spacing w:after="0" w:line="360" w:lineRule="auto"/>
        <w:rPr>
          <w:rFonts w:ascii="Verdana" w:eastAsia="Times New Roman" w:hAnsi="Verdana" w:cs="Arial"/>
          <w:sz w:val="24"/>
          <w:szCs w:val="24"/>
          <w:lang w:val="es-ES" w:eastAsia="es-ES"/>
        </w:rPr>
      </w:pPr>
    </w:p>
    <w:p w14:paraId="49E004DE" w14:textId="1E30CDC7" w:rsidR="00186518" w:rsidRDefault="00186518" w:rsidP="00AE689A">
      <w:pPr>
        <w:spacing w:after="0" w:line="360" w:lineRule="auto"/>
        <w:rPr>
          <w:rFonts w:ascii="Verdana" w:eastAsia="Times New Roman" w:hAnsi="Verdana" w:cs="Arial"/>
          <w:b/>
          <w:bCs/>
          <w:sz w:val="24"/>
          <w:szCs w:val="24"/>
          <w:lang w:val="es-ES" w:eastAsia="es-ES"/>
        </w:rPr>
      </w:pPr>
      <w:r w:rsidRPr="00651B82">
        <w:rPr>
          <w:rFonts w:ascii="Verdana" w:eastAsia="Times New Roman" w:hAnsi="Verdana" w:cs="Arial"/>
          <w:b/>
          <w:bCs/>
          <w:sz w:val="24"/>
          <w:szCs w:val="24"/>
          <w:lang w:val="es-ES" w:eastAsia="es-ES"/>
        </w:rPr>
        <w:t>Interpretación y control judicial de constitucionalidad</w:t>
      </w:r>
    </w:p>
    <w:p w14:paraId="51530955" w14:textId="77777777" w:rsidR="001C2AF9" w:rsidRPr="00651B82" w:rsidRDefault="001C2AF9" w:rsidP="00AE689A">
      <w:pPr>
        <w:spacing w:after="0" w:line="360" w:lineRule="auto"/>
        <w:rPr>
          <w:rFonts w:ascii="Verdana" w:eastAsia="Times New Roman" w:hAnsi="Verdana" w:cs="Arial"/>
          <w:b/>
          <w:bCs/>
          <w:sz w:val="24"/>
          <w:szCs w:val="24"/>
          <w:lang w:val="es-ES" w:eastAsia="es-ES"/>
        </w:rPr>
      </w:pPr>
    </w:p>
    <w:p w14:paraId="3227865A" w14:textId="061F5DAB"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Finalmente debemos resaltar la íntima relación que existe entre la interpretación y el control de constitucionalidad de normas infraconstitucionales que realizan los jueces (en forma difusa conforme nuestro sistema). La cuestión es expuesta con claridad por Germán Bidart Campos. Este jurista sostenía que cuando se lleva a cabo el control de constitucionalidad de normas infraconstitucionales y se las compara con la constitución para decidir si son inconstitucionales (contrarias a la constitución) o no, se realiza en verdad inte</w:t>
      </w:r>
      <w:r w:rsidR="0067072F">
        <w:rPr>
          <w:rFonts w:ascii="Verdana" w:eastAsia="Times New Roman" w:hAnsi="Verdana" w:cs="Arial"/>
          <w:sz w:val="24"/>
          <w:szCs w:val="24"/>
          <w:lang w:val="es-ES" w:eastAsia="es-ES"/>
        </w:rPr>
        <w:t>r</w:t>
      </w:r>
      <w:r w:rsidRPr="00186518">
        <w:rPr>
          <w:rFonts w:ascii="Verdana" w:eastAsia="Times New Roman" w:hAnsi="Verdana" w:cs="Arial"/>
          <w:sz w:val="24"/>
          <w:szCs w:val="24"/>
          <w:lang w:val="es-ES" w:eastAsia="es-ES"/>
        </w:rPr>
        <w:t xml:space="preserve">pretación </w:t>
      </w:r>
      <w:r w:rsidRPr="00186518">
        <w:rPr>
          <w:rFonts w:ascii="Verdana" w:eastAsia="Times New Roman" w:hAnsi="Verdana" w:cs="Arial"/>
          <w:sz w:val="24"/>
          <w:szCs w:val="24"/>
          <w:lang w:val="es-ES" w:eastAsia="es-ES"/>
        </w:rPr>
        <w:lastRenderedPageBreak/>
        <w:t>doble: de las normas inferiores a la constitución, y de las normas de la constitución que guardan relación con ellas.</w:t>
      </w:r>
      <w:r w:rsidRPr="00186518">
        <w:rPr>
          <w:rFonts w:ascii="Verdana" w:eastAsia="Times New Roman" w:hAnsi="Verdana" w:cs="Arial"/>
          <w:sz w:val="24"/>
          <w:szCs w:val="24"/>
          <w:vertAlign w:val="superscript"/>
          <w:lang w:val="es-ES" w:eastAsia="es-ES"/>
        </w:rPr>
        <w:footnoteReference w:id="39"/>
      </w:r>
    </w:p>
    <w:p w14:paraId="3159EC09"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Este jurista distinguía por un lado la interpretación “de” la constitución, vale decir de sus normas o disposiciones, y por otro la interpretación “desde” la constitución, vale decir la interpretación de las normas infraconstitucionales a la luz de la constitución. Cuando los jueces ejercen el control de constitucionalidad realizan ambas operaciones. Vale decir, entonces, que no hay control sin interpretación constitucional.</w:t>
      </w:r>
    </w:p>
    <w:p w14:paraId="61C0D7BB" w14:textId="69F128EF"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El control de constitucionalidad es entonces un procedimiento íntimamente ligado a la interpretación constitucional. Corresponde por consiguiente describir brevemente sus características esenciales. En el caso argentino, el control de constitucionalidad judicial difuso es similar al estadounidense, y no surge en forma expresa y concreta del texto constitucional. Se lo ha intentado derivar en forma implícita del artículo 116 de la Constitución, el que atribuye a los tribunales “el conocimiento y decisión de todas las causas” que involucran a la Constitución, a los Tratados y a las leyes del Congreso. Actualmente sí recibe una mención expresa en el artículo 43, relativo a las garantías constitucionales, incorporado en la Reforma Constitucional de 1994.</w:t>
      </w:r>
    </w:p>
    <w:p w14:paraId="3E20FF32"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Ya desde el caso “Municipalidad de la Capital c/Elortondo” (Fallos: 33:162), de 1888, la Corte definió el sentido y las características básicas del control de constitucionalidad judicial difuso en la Argentina. En dicha oportunidad, el Alto Tribunal manifestó que: “Que es elemental en nuestra organización constitucional, la atribución que tienen y el deber en que se hallan los Tribunales de Justicia, de examinar las leyes en los casos concretos que se traen a su decisión, comparándolas con el testo </w:t>
      </w:r>
      <w:r w:rsidRPr="00186518">
        <w:rPr>
          <w:rFonts w:ascii="Verdana" w:eastAsia="Times New Roman" w:hAnsi="Verdana" w:cs="Arial"/>
          <w:sz w:val="24"/>
          <w:szCs w:val="24"/>
          <w:lang w:val="es-ES" w:eastAsia="es-ES"/>
        </w:rPr>
        <w:lastRenderedPageBreak/>
        <w:t>de la Constitución para averiguar si guardan o no conformidad con esta, y abstenerse de aplicarlas, si las encuentran en oposición con ella, constituyendo esta atribución moderadora, uno de los fines supremos y fundamentales del poder judicial nacional y una de las mayores garantías con que se ha entendido asegurar los derechos consignados en la Constitución, contra los abusos posibles e involuntarios de los poderes públicos.”</w:t>
      </w:r>
    </w:p>
    <w:p w14:paraId="12EAE7F9" w14:textId="3D5C0FB0"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El control judicial difuso faculta a los jueces a que, en el marco de la causa judicial, declaren la inconstitucionalidad de la norma u acto que ocasione la acción u omisión lesiva de los derechos constitucionales del afectado. En primer lugar</w:t>
      </w:r>
      <w:r w:rsidR="00B31684">
        <w:rPr>
          <w:rFonts w:ascii="Verdana" w:eastAsia="Times New Roman" w:hAnsi="Verdana" w:cs="Arial"/>
          <w:sz w:val="24"/>
          <w:szCs w:val="24"/>
          <w:lang w:val="es-ES" w:eastAsia="es-ES"/>
        </w:rPr>
        <w:t>,</w:t>
      </w:r>
      <w:r w:rsidRPr="00186518">
        <w:rPr>
          <w:rFonts w:ascii="Verdana" w:eastAsia="Times New Roman" w:hAnsi="Verdana" w:cs="Arial"/>
          <w:sz w:val="24"/>
          <w:szCs w:val="24"/>
          <w:lang w:val="es-ES" w:eastAsia="es-ES"/>
        </w:rPr>
        <w:t xml:space="preserve"> esta facultad está en manos de todos los jueces de la Nación. Requiere también a existencia de una causa judicial promovida por una parte que estime menoscabados sus derechos constitucionales. Asimismo, en el marco del proceso el juez puede declarar la inconstitucionalidad a pedido de parte (si bien la actual jurisprudencia de la Corte admite también que esa declaración se haga de oficio). Y con respecto al efecto de la sentencia que declara la inconstitucionalidad, ella vale solamente para las partes involucradas en el juicio. </w:t>
      </w:r>
    </w:p>
    <w:p w14:paraId="58D207E2" w14:textId="0FD29999"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De ello se desprende que la Corte Suprema tiene en el ejercicio del control de constitucionalidad seguramente su actividad más relevante, erigiéndose como ya dijimos en el “Tribunal de las garantías constitucionales”, como lo ha denominado Bidart Campos, ejerciendo un rol jurídico y político a la vez. La Corte es claramente la cabeza de un poder del Estado –y el Judicial es un poder- en la medida en la cual ejercen la facultad de controlar la constitucionalidad de las normas emitidas o dictadas por los otros poderes.</w:t>
      </w:r>
    </w:p>
    <w:p w14:paraId="0BE68CA9" w14:textId="77777777" w:rsidR="00346CE9"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 Si bien originariamente se ha concebido al control como mecanismo de defensa o incidental dentro de un proceso judicial, modernamente la admisión de la acción de amparo ha dinamizado el control de </w:t>
      </w:r>
      <w:r w:rsidRPr="00186518">
        <w:rPr>
          <w:rFonts w:ascii="Verdana" w:eastAsia="Times New Roman" w:hAnsi="Verdana" w:cs="Arial"/>
          <w:sz w:val="24"/>
          <w:szCs w:val="24"/>
          <w:lang w:val="es-ES" w:eastAsia="es-ES"/>
        </w:rPr>
        <w:lastRenderedPageBreak/>
        <w:t>constitucionalidad. El mismo es un procedimiento rápido creado para defender los derechos de las personas (salvo la libertad física o ambulatoria, tutelada por el hábeas corpus) en caso de un menoscabo o violación ilegal y/o arbitrario por parte del poder público o de los particulares. Receptado primero por la jurisprudencia de la Corte (en los casos “Siri”, de 1957 y “Kot”, de 1958), recibió luego regulación legal y finalmente se le dio cabida en el nuevo artículo 43 de la Constitución. En el marco de dicho proceso pueden los magistrados judiciales declarar la inconstitucionalidad de normas u omisiones.</w:t>
      </w:r>
    </w:p>
    <w:p w14:paraId="70F8571D" w14:textId="68F7F7B3"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Sintetizando, podemos resumir las características del sistema argentino de control de constitucionalidad siguiendo la descripción de Sagüés</w:t>
      </w:r>
      <w:r w:rsidRPr="00186518">
        <w:rPr>
          <w:rFonts w:ascii="Verdana" w:eastAsia="Times New Roman" w:hAnsi="Verdana" w:cs="Arial"/>
          <w:sz w:val="24"/>
          <w:szCs w:val="24"/>
          <w:vertAlign w:val="superscript"/>
          <w:lang w:val="es-ES" w:eastAsia="es-ES"/>
        </w:rPr>
        <w:footnoteReference w:id="40"/>
      </w:r>
      <w:r w:rsidRPr="00186518">
        <w:rPr>
          <w:rFonts w:ascii="Verdana" w:eastAsia="Times New Roman" w:hAnsi="Verdana" w:cs="Arial"/>
          <w:sz w:val="24"/>
          <w:szCs w:val="24"/>
          <w:lang w:val="es-ES" w:eastAsia="es-ES"/>
        </w:rPr>
        <w:t xml:space="preserve"> : a) es judicial, b) es difuso, ya que corresponde a todos los jueces sin distinción de fueros o categorías, c) es fundamentalmente letrado, ya que está en manos de jueces letrados por lo general , d) es permanente, ya que es ejercido por órganos permanentes, e) es reparador, vale decir posterior a los hechos, f) puede ser promovido por todas la partes afectada, pero también el juez de oficio podrá declararla si la inconstitucionalidad es grave y necesaria</w:t>
      </w:r>
      <w:r w:rsidRPr="00186518">
        <w:rPr>
          <w:rFonts w:ascii="Verdana" w:eastAsia="Times New Roman" w:hAnsi="Verdana" w:cs="Arial"/>
          <w:sz w:val="24"/>
          <w:szCs w:val="24"/>
          <w:vertAlign w:val="superscript"/>
          <w:lang w:val="es-ES" w:eastAsia="es-ES"/>
        </w:rPr>
        <w:footnoteReference w:id="41"/>
      </w:r>
      <w:r w:rsidRPr="00186518">
        <w:rPr>
          <w:rFonts w:ascii="Verdana" w:eastAsia="Times New Roman" w:hAnsi="Verdana" w:cs="Arial"/>
          <w:sz w:val="24"/>
          <w:szCs w:val="24"/>
          <w:lang w:val="es-ES" w:eastAsia="es-ES"/>
        </w:rPr>
        <w:t xml:space="preserve">  , g) controla normas, actos y omisiones, h) es decisorio, en el sentido de obligatorio para las partes del caso (efecto inter partes), i) en el caso de los fallos de la Corte Suprema de Justicia de la nación, si bien el efecto de sus sentencias es inter partes, el mismo tribunal estableció que existe el deber moral de seguir sus directrices , j) existen áreas exentas del control , denominadas “políticas”, que constituyen entonces cuestiones políticas no justiciables (doctrina en claro retroceso, ya que lo que se tiende a controlar siempre es la dimensión normativa de la causa, y lo que no se controla es aquello que es discrecional de los poderes políticos </w:t>
      </w:r>
      <w:r w:rsidRPr="00186518">
        <w:rPr>
          <w:rFonts w:ascii="Verdana" w:eastAsia="Times New Roman" w:hAnsi="Verdana" w:cs="Arial"/>
          <w:sz w:val="24"/>
          <w:szCs w:val="24"/>
          <w:lang w:val="es-ES" w:eastAsia="es-ES"/>
        </w:rPr>
        <w:lastRenderedPageBreak/>
        <w:t xml:space="preserve">competentes en el tema, con lo que todas las causas revisten aspectos controlables en principio). </w:t>
      </w:r>
    </w:p>
    <w:p w14:paraId="0232F1CB" w14:textId="77777777" w:rsidR="00186518" w:rsidRPr="00186518" w:rsidRDefault="00186518" w:rsidP="00AE689A">
      <w:pPr>
        <w:spacing w:after="0" w:line="360" w:lineRule="auto"/>
        <w:rPr>
          <w:rFonts w:ascii="Verdana" w:eastAsia="Times New Roman" w:hAnsi="Verdana" w:cs="Arial"/>
          <w:sz w:val="24"/>
          <w:szCs w:val="24"/>
          <w:lang w:val="es-ES" w:eastAsia="es-ES"/>
        </w:rPr>
      </w:pPr>
    </w:p>
    <w:p w14:paraId="7772AEC4" w14:textId="7999EB00" w:rsidR="00186518" w:rsidRDefault="00186518" w:rsidP="00AE689A">
      <w:pPr>
        <w:spacing w:after="0" w:line="360" w:lineRule="auto"/>
        <w:rPr>
          <w:rFonts w:ascii="Verdana" w:eastAsia="Times New Roman" w:hAnsi="Verdana" w:cs="Arial"/>
          <w:b/>
          <w:bCs/>
          <w:sz w:val="24"/>
          <w:szCs w:val="24"/>
          <w:lang w:val="es-ES" w:eastAsia="es-ES"/>
        </w:rPr>
      </w:pPr>
      <w:r w:rsidRPr="00563BB5">
        <w:rPr>
          <w:rFonts w:ascii="Verdana" w:eastAsia="Times New Roman" w:hAnsi="Verdana" w:cs="Arial"/>
          <w:b/>
          <w:bCs/>
          <w:sz w:val="24"/>
          <w:szCs w:val="24"/>
          <w:lang w:val="es-ES" w:eastAsia="es-ES"/>
        </w:rPr>
        <w:t xml:space="preserve">Control de razonabilidad e interpretación constitucional. El principio de claridad </w:t>
      </w:r>
    </w:p>
    <w:p w14:paraId="20D95923" w14:textId="77777777" w:rsidR="001C2AF9" w:rsidRPr="00563BB5" w:rsidRDefault="001C2AF9" w:rsidP="00AE689A">
      <w:pPr>
        <w:spacing w:after="0" w:line="360" w:lineRule="auto"/>
        <w:rPr>
          <w:rFonts w:ascii="Verdana" w:eastAsia="Times New Roman" w:hAnsi="Verdana" w:cs="Arial"/>
          <w:b/>
          <w:bCs/>
          <w:sz w:val="24"/>
          <w:szCs w:val="24"/>
          <w:lang w:val="es-ES" w:eastAsia="es-ES"/>
        </w:rPr>
      </w:pPr>
    </w:p>
    <w:p w14:paraId="05A793FD" w14:textId="369E299D"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ab/>
        <w:t>Asimismo, cabe destacar que la interpretación constitucional, ejercida a través del control judicial de constitucionalidad, aparece muchas veces ligada al control de razonabilidad de las leyes (o de toda norma infraconstitucional). Por consiguiente, podemos concluir que los recursos interpretativos o argumentativos son esenciales para poder llevar a cabo el control de constitucionalidad y el control de razonabilidad</w:t>
      </w:r>
      <w:r w:rsidRPr="00186518">
        <w:rPr>
          <w:rFonts w:ascii="Verdana" w:eastAsia="Times New Roman" w:hAnsi="Verdana" w:cs="Arial"/>
          <w:sz w:val="24"/>
          <w:szCs w:val="24"/>
          <w:vertAlign w:val="superscript"/>
          <w:lang w:val="es-ES" w:eastAsia="es-ES"/>
        </w:rPr>
        <w:footnoteReference w:id="42"/>
      </w:r>
      <w:r w:rsidRPr="00186518">
        <w:rPr>
          <w:rFonts w:ascii="Verdana" w:eastAsia="Times New Roman" w:hAnsi="Verdana" w:cs="Arial"/>
          <w:sz w:val="24"/>
          <w:szCs w:val="24"/>
          <w:lang w:val="es-ES" w:eastAsia="es-ES"/>
        </w:rPr>
        <w:t>, tareas fundamentales en un Estado democrático de Derecho. Dicho principio tiene su fuente implícita en el artículo 28 CN. En este orden de ideas, María Angélica Gelli, explica el alcance del principio de razonabilidad, señalando que</w:t>
      </w:r>
      <w:r w:rsidR="00B31684">
        <w:rPr>
          <w:rFonts w:ascii="Verdana" w:eastAsia="Times New Roman" w:hAnsi="Verdana" w:cs="Arial"/>
          <w:sz w:val="24"/>
          <w:szCs w:val="24"/>
          <w:lang w:val="es-ES" w:eastAsia="es-ES"/>
        </w:rPr>
        <w:t>,</w:t>
      </w:r>
      <w:r w:rsidRPr="00186518">
        <w:rPr>
          <w:rFonts w:ascii="Verdana" w:eastAsia="Times New Roman" w:hAnsi="Verdana" w:cs="Arial"/>
          <w:sz w:val="24"/>
          <w:szCs w:val="24"/>
          <w:lang w:val="es-ES" w:eastAsia="es-ES"/>
        </w:rPr>
        <w:t xml:space="preserve"> si bien artículo 28 CN no contiene esa expresión, la doctrina y la jurisprudencia han construido el principio de razonabilidad, como una forma de delimitación entre la reglamentación legítima y aquella que altera derechos y garantías. Destaca asimismo la complejidad de dicha tarea. Sin embargo, para la autora es posible afinar las pautas para delinear un principio interpretativo que asegure los controles y resguarde los derechos.</w:t>
      </w:r>
      <w:r w:rsidRPr="00186518">
        <w:rPr>
          <w:rFonts w:ascii="Verdana" w:eastAsia="Times New Roman" w:hAnsi="Verdana" w:cs="Arial"/>
          <w:sz w:val="24"/>
          <w:szCs w:val="24"/>
          <w:vertAlign w:val="superscript"/>
          <w:lang w:val="es-ES" w:eastAsia="es-ES"/>
        </w:rPr>
        <w:footnoteReference w:id="43"/>
      </w:r>
      <w:r w:rsidRPr="00186518">
        <w:rPr>
          <w:rFonts w:ascii="Verdana" w:eastAsia="Times New Roman" w:hAnsi="Verdana" w:cs="Arial"/>
          <w:sz w:val="24"/>
          <w:szCs w:val="24"/>
          <w:lang w:val="es-ES" w:eastAsia="es-ES"/>
        </w:rPr>
        <w:t xml:space="preserve"> </w:t>
      </w:r>
    </w:p>
    <w:p w14:paraId="08E501FE" w14:textId="138E2C89"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Por su parte, Bidart Campos relaciona el principio de razonabilidad con la valoración axiológica de la justicia, ya que entiende que para evaluar la constitucionalidad de una ley hace falta </w:t>
      </w:r>
      <w:r w:rsidR="000D7D6E">
        <w:rPr>
          <w:rFonts w:ascii="Verdana" w:eastAsia="Times New Roman" w:hAnsi="Verdana" w:cs="Arial"/>
          <w:sz w:val="24"/>
          <w:szCs w:val="24"/>
          <w:lang w:val="es-ES" w:eastAsia="es-ES"/>
        </w:rPr>
        <w:t>valorarla</w:t>
      </w:r>
      <w:r w:rsidRPr="00186518">
        <w:rPr>
          <w:rFonts w:ascii="Verdana" w:eastAsia="Times New Roman" w:hAnsi="Verdana" w:cs="Arial"/>
          <w:sz w:val="24"/>
          <w:szCs w:val="24"/>
          <w:lang w:val="es-ES" w:eastAsia="es-ES"/>
        </w:rPr>
        <w:t xml:space="preserve"> desde un cierto </w:t>
      </w:r>
      <w:r w:rsidRPr="00186518">
        <w:rPr>
          <w:rFonts w:ascii="Verdana" w:eastAsia="Times New Roman" w:hAnsi="Verdana" w:cs="Arial"/>
          <w:sz w:val="24"/>
          <w:szCs w:val="24"/>
          <w:lang w:val="es-ES" w:eastAsia="es-ES"/>
        </w:rPr>
        <w:lastRenderedPageBreak/>
        <w:t>contenido de justicia. A ese contenido de justicia lo llamamos razonabilidad. Y lo opuesto a ello es la arbitrariedad. Por consiguiente, lo que es arbitrario es inconstitucional.</w:t>
      </w:r>
      <w:r w:rsidRPr="00186518">
        <w:rPr>
          <w:rFonts w:ascii="Verdana" w:eastAsia="Times New Roman" w:hAnsi="Verdana" w:cs="Arial"/>
          <w:sz w:val="24"/>
          <w:szCs w:val="24"/>
          <w:vertAlign w:val="superscript"/>
          <w:lang w:val="es-ES" w:eastAsia="es-ES"/>
        </w:rPr>
        <w:footnoteReference w:id="44"/>
      </w:r>
      <w:r w:rsidRPr="00186518">
        <w:rPr>
          <w:rFonts w:ascii="Verdana" w:eastAsia="Times New Roman" w:hAnsi="Verdana" w:cs="Arial"/>
          <w:sz w:val="24"/>
          <w:szCs w:val="24"/>
          <w:lang w:val="es-ES" w:eastAsia="es-ES"/>
        </w:rPr>
        <w:t xml:space="preserve"> Conforme el autor, la razonabilidad, además de su aspecto valorativo, posee una dimensión técnica, que no dice si para obtener un determinado fin es conducente determinado medio. Ambos aspectos, el técnico y el axiológico, deben estar relacionados.</w:t>
      </w:r>
      <w:r w:rsidRPr="00186518">
        <w:rPr>
          <w:rFonts w:ascii="Verdana" w:eastAsia="Times New Roman" w:hAnsi="Verdana" w:cs="Arial"/>
          <w:sz w:val="24"/>
          <w:szCs w:val="24"/>
          <w:vertAlign w:val="superscript"/>
          <w:lang w:val="es-ES" w:eastAsia="es-ES"/>
        </w:rPr>
        <w:footnoteReference w:id="45"/>
      </w:r>
    </w:p>
    <w:p w14:paraId="548A1FC6"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ab/>
        <w:t xml:space="preserve">En un libro clásico sobre el tema, Juan Francisco Linares enseña que hay tres sentidos del concepto de razonabilidad de las leyes: uno técnico, que alude a los medios razonables para obtener un fin determinado; otro axiológico o valorativo, relacionado con la justicia y valores conexos ((solidaridad, cooperación, etc.); y otro existencial, relacionado con la necesidad de la existencia de una causa jurídica suficiente para la justificación de una conducta determinada. Linares identifica asimismo el principio de razonabilidad con el denominado debido proceso sustantivo. </w:t>
      </w:r>
    </w:p>
    <w:p w14:paraId="51F1D91A" w14:textId="6CAF3430"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De estos tres significados indicados previamente, el autor señala como fundamental el axiológico, ya que por razonabilidad en sentido estricto solamente debe entenderse el fundamento de verdad o justicia. Así un acto puede tener fundamento de existencia, en cuanto se dictó y por la circunstancia de estar vigente, puede tener fundamento de esencia en cuanto se apoya en normas jurídicas y puede poseer fundamento de razonabilidad por cuanto es justo.</w:t>
      </w:r>
      <w:r w:rsidRPr="00186518">
        <w:rPr>
          <w:rFonts w:ascii="Verdana" w:eastAsia="Times New Roman" w:hAnsi="Verdana" w:cs="Arial"/>
          <w:sz w:val="24"/>
          <w:szCs w:val="24"/>
          <w:vertAlign w:val="superscript"/>
          <w:lang w:val="es-ES" w:eastAsia="es-ES"/>
        </w:rPr>
        <w:footnoteReference w:id="46"/>
      </w:r>
      <w:r w:rsidRPr="00186518">
        <w:rPr>
          <w:rFonts w:ascii="Verdana" w:eastAsia="Times New Roman" w:hAnsi="Verdana" w:cs="Arial"/>
          <w:sz w:val="24"/>
          <w:szCs w:val="24"/>
          <w:lang w:val="es-ES" w:eastAsia="es-ES"/>
        </w:rPr>
        <w:t xml:space="preserve">  </w:t>
      </w:r>
    </w:p>
    <w:p w14:paraId="4622A30C" w14:textId="28213249"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Por su parte, Guibourg sostiene que, si bien la razonabilidad tiene que ver con lo axiológico, tiende a presentarse con un perfil intelectual, de mayor asepsia valorativa. En este orden de ideas, distingue tres tipos o </w:t>
      </w:r>
      <w:r w:rsidRPr="00186518">
        <w:rPr>
          <w:rFonts w:ascii="Verdana" w:eastAsia="Times New Roman" w:hAnsi="Verdana" w:cs="Arial"/>
          <w:sz w:val="24"/>
          <w:szCs w:val="24"/>
          <w:lang w:val="es-ES" w:eastAsia="es-ES"/>
        </w:rPr>
        <w:lastRenderedPageBreak/>
        <w:t>clases de razonabilidad: la pragmática, relacionada con la selección de los medios más adecuados para obtener el fin propuesto; la sintáctica, que tiene que ver con la reunión de los fines dentro de un sistema consistente de fines; y la semántica, consistente en la compatibilidad de esos fines con los patrones valorativos de una norma o de la comunidad. En base a esto afirma que la atribución de razonabilidad a una decisión no equivale a la aprobación de la misma decisión individual.</w:t>
      </w:r>
      <w:r w:rsidRPr="00186518">
        <w:rPr>
          <w:rFonts w:ascii="Verdana" w:eastAsia="Times New Roman" w:hAnsi="Verdana" w:cs="Arial"/>
          <w:sz w:val="24"/>
          <w:szCs w:val="24"/>
          <w:vertAlign w:val="superscript"/>
          <w:lang w:val="es-ES" w:eastAsia="es-ES"/>
        </w:rPr>
        <w:footnoteReference w:id="47"/>
      </w:r>
    </w:p>
    <w:p w14:paraId="39D5CCB7" w14:textId="1C92DDA8"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Dalla Via señala la trascendencia de este principio en el marco del accionar de la justicia, afirmando que la regla de razonabilidad se ha convertido en uno de los principios o pautas de interpretación más importantes y plenamente aplicable en la interpretación de la Constitución. Sus referencias son muy frecuentes en toda la jurisprudencia de la Corte Suprema de Justicia de la Nación; y por ello, toda norma infraconstitucional, se trate de una ley o de un decreto, ya sea de alcance general o individual, será evaluado como “arbitrario” si lesiona el principio de razonabilidad.</w:t>
      </w:r>
      <w:r w:rsidRPr="00186518">
        <w:rPr>
          <w:rFonts w:ascii="Verdana" w:eastAsia="Times New Roman" w:hAnsi="Verdana" w:cs="Arial"/>
          <w:sz w:val="24"/>
          <w:szCs w:val="24"/>
          <w:vertAlign w:val="superscript"/>
          <w:lang w:val="es-ES" w:eastAsia="es-ES"/>
        </w:rPr>
        <w:footnoteReference w:id="48"/>
      </w:r>
      <w:r w:rsidRPr="00186518">
        <w:rPr>
          <w:rFonts w:ascii="Verdana" w:eastAsia="Times New Roman" w:hAnsi="Verdana" w:cs="Arial"/>
          <w:sz w:val="24"/>
          <w:szCs w:val="24"/>
          <w:lang w:val="es-ES" w:eastAsia="es-ES"/>
        </w:rPr>
        <w:t xml:space="preserve"> Afirmando la relevancia de este principio, Dalla Via sostiene que, en el marco de la hermenéutica de la Constitución, deben prevalecer los cánones de la razonabilidad por sobre los de la subsunción.</w:t>
      </w:r>
      <w:r w:rsidRPr="00186518">
        <w:rPr>
          <w:rFonts w:ascii="Verdana" w:eastAsia="Times New Roman" w:hAnsi="Verdana" w:cs="Arial"/>
          <w:sz w:val="24"/>
          <w:szCs w:val="24"/>
          <w:vertAlign w:val="superscript"/>
          <w:lang w:val="es-ES" w:eastAsia="es-ES"/>
        </w:rPr>
        <w:footnoteReference w:id="49"/>
      </w:r>
    </w:p>
    <w:p w14:paraId="5A1B5BA6" w14:textId="494E464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También Alberto Dalla Via sostiene y fundamenta la existencia del principio constitucional de claridad. Es más, lo considera como un principio cardinal relacionado con la interpretación constitucional. Si bien no es un principio mencionado con frecuencia, está incluido en el principio de razonabilidad al que profundiza y precisa a partir de los mismos argumentos y fundamentos que le dieron cabida en la </w:t>
      </w:r>
      <w:r w:rsidRPr="00186518">
        <w:rPr>
          <w:rFonts w:ascii="Verdana" w:eastAsia="Times New Roman" w:hAnsi="Verdana" w:cs="Arial"/>
          <w:sz w:val="24"/>
          <w:szCs w:val="24"/>
          <w:lang w:val="es-ES" w:eastAsia="es-ES"/>
        </w:rPr>
        <w:lastRenderedPageBreak/>
        <w:t>doctrina.</w:t>
      </w:r>
      <w:r w:rsidRPr="00186518">
        <w:rPr>
          <w:rFonts w:ascii="Verdana" w:eastAsia="Times New Roman" w:hAnsi="Verdana" w:cs="Arial"/>
          <w:sz w:val="24"/>
          <w:szCs w:val="24"/>
          <w:vertAlign w:val="superscript"/>
          <w:lang w:val="es-ES" w:eastAsia="es-ES"/>
        </w:rPr>
        <w:footnoteReference w:id="50"/>
      </w:r>
      <w:r w:rsidRPr="00186518">
        <w:rPr>
          <w:rFonts w:ascii="Verdana" w:eastAsia="Times New Roman" w:hAnsi="Verdana" w:cs="Arial"/>
          <w:sz w:val="24"/>
          <w:szCs w:val="24"/>
          <w:lang w:val="es-ES" w:eastAsia="es-ES"/>
        </w:rPr>
        <w:t xml:space="preserve"> La finalidad de este principio es la de poner claridad en el ordenamiento jurídico para que las normas puedan ser conocidas y comprendidas por todos. Conspira contra el mismo la confusión normativa y el fárrago de normas legales existentes, que dificultan el conocimiento del derecho vigente y alientan no pocas veces los abusos en la práctica jurídica (y judicial). </w:t>
      </w:r>
    </w:p>
    <w:p w14:paraId="6697E0F8"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También alientan esto las ambigüedades e indeterminaciones semánticas, y las lagunas jurídicas. Enseña también Dalla Via que la claridad interpretativa confiere carácter científico al Derecho, alejándolo de posiciones pretendidamente eclécticas que carecen de rigor conceptual. Por ello aconseja profundizar y afirmar el principio constitucional de claridad.</w:t>
      </w:r>
      <w:r w:rsidRPr="00186518">
        <w:rPr>
          <w:rFonts w:ascii="Verdana" w:eastAsia="Times New Roman" w:hAnsi="Verdana" w:cs="Arial"/>
          <w:sz w:val="24"/>
          <w:szCs w:val="24"/>
          <w:vertAlign w:val="superscript"/>
          <w:lang w:val="es-ES" w:eastAsia="es-ES"/>
        </w:rPr>
        <w:footnoteReference w:id="51"/>
      </w:r>
    </w:p>
    <w:p w14:paraId="6B9E78FC"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ab/>
      </w:r>
    </w:p>
    <w:p w14:paraId="39945528" w14:textId="008C0E44" w:rsidR="00186518" w:rsidRDefault="00186518" w:rsidP="00776A9E">
      <w:pPr>
        <w:rPr>
          <w:rFonts w:ascii="Verdana" w:eastAsia="Times New Roman" w:hAnsi="Verdana" w:cs="Arial"/>
          <w:b/>
          <w:bCs/>
          <w:sz w:val="24"/>
          <w:szCs w:val="24"/>
          <w:lang w:val="es-ES" w:eastAsia="es-ES"/>
        </w:rPr>
      </w:pPr>
      <w:r w:rsidRPr="00D2213C">
        <w:rPr>
          <w:rFonts w:ascii="Verdana" w:eastAsia="Times New Roman" w:hAnsi="Verdana" w:cs="Arial"/>
          <w:b/>
          <w:bCs/>
          <w:sz w:val="24"/>
          <w:szCs w:val="24"/>
          <w:lang w:val="es-ES" w:eastAsia="es-ES"/>
        </w:rPr>
        <w:t xml:space="preserve">2. LOS MÉTODOS </w:t>
      </w:r>
      <w:r w:rsidR="006E2C96" w:rsidRPr="00D2213C">
        <w:rPr>
          <w:rFonts w:ascii="Verdana" w:eastAsia="Times New Roman" w:hAnsi="Verdana" w:cs="Arial"/>
          <w:b/>
          <w:bCs/>
          <w:sz w:val="24"/>
          <w:szCs w:val="24"/>
          <w:lang w:val="es-ES" w:eastAsia="es-ES"/>
        </w:rPr>
        <w:t xml:space="preserve">O CRITERIOS </w:t>
      </w:r>
      <w:r w:rsidRPr="00D2213C">
        <w:rPr>
          <w:rFonts w:ascii="Verdana" w:eastAsia="Times New Roman" w:hAnsi="Verdana" w:cs="Arial"/>
          <w:b/>
          <w:bCs/>
          <w:sz w:val="24"/>
          <w:szCs w:val="24"/>
          <w:lang w:val="es-ES" w:eastAsia="es-ES"/>
        </w:rPr>
        <w:t>DE INTERPRETACIÓN</w:t>
      </w:r>
    </w:p>
    <w:p w14:paraId="44E45418" w14:textId="77777777" w:rsidR="0049567B" w:rsidRPr="00D2213C" w:rsidRDefault="0049567B" w:rsidP="00AE689A">
      <w:pPr>
        <w:spacing w:after="0" w:line="360" w:lineRule="auto"/>
        <w:rPr>
          <w:rFonts w:ascii="Verdana" w:eastAsia="Times New Roman" w:hAnsi="Verdana" w:cs="Arial"/>
          <w:b/>
          <w:bCs/>
          <w:sz w:val="24"/>
          <w:szCs w:val="24"/>
          <w:lang w:val="es-ES" w:eastAsia="es-ES"/>
        </w:rPr>
      </w:pPr>
    </w:p>
    <w:p w14:paraId="0A93B1E2" w14:textId="047B776B" w:rsidR="00186518" w:rsidRDefault="00CE20E6" w:rsidP="00AE689A">
      <w:pPr>
        <w:spacing w:after="0" w:line="360" w:lineRule="auto"/>
        <w:rPr>
          <w:rFonts w:ascii="Verdana" w:eastAsia="Times New Roman" w:hAnsi="Verdana" w:cs="Arial"/>
          <w:sz w:val="24"/>
          <w:szCs w:val="24"/>
          <w:lang w:val="es-ES" w:eastAsia="es-ES"/>
        </w:rPr>
      </w:pPr>
      <w:r>
        <w:rPr>
          <w:rFonts w:ascii="Verdana" w:eastAsia="Times New Roman" w:hAnsi="Verdana" w:cs="Arial"/>
          <w:sz w:val="24"/>
          <w:szCs w:val="24"/>
          <w:lang w:val="es-ES" w:eastAsia="es-ES"/>
        </w:rPr>
        <w:t>Una mirada clásica de la interpretación jurídica y constitucional se centraliza en los llamados “métodos” o criterios de interpretación. Ellos son pautas hermenéuticas que permiten al juez desentrañar el sentido de la norma. Y por consiguiente se las vincula con el contexto del “descubrimiento” de la norma.</w:t>
      </w:r>
      <w:r w:rsidR="00385F5C">
        <w:rPr>
          <w:rFonts w:ascii="Verdana" w:eastAsia="Times New Roman" w:hAnsi="Verdana" w:cs="Arial"/>
          <w:sz w:val="24"/>
          <w:szCs w:val="24"/>
          <w:lang w:val="es-ES" w:eastAsia="es-ES"/>
        </w:rPr>
        <w:t xml:space="preserve"> Enunciaremos a continuación estos criterios o métodos. </w:t>
      </w:r>
    </w:p>
    <w:p w14:paraId="0FA0FACC" w14:textId="77777777" w:rsidR="0049567B" w:rsidRPr="00186518" w:rsidRDefault="0049567B" w:rsidP="00AE689A">
      <w:pPr>
        <w:spacing w:after="0" w:line="360" w:lineRule="auto"/>
        <w:rPr>
          <w:rFonts w:ascii="Verdana" w:eastAsia="Times New Roman" w:hAnsi="Verdana" w:cs="Arial"/>
          <w:sz w:val="24"/>
          <w:szCs w:val="24"/>
          <w:lang w:val="es-ES" w:eastAsia="es-ES"/>
        </w:rPr>
      </w:pPr>
    </w:p>
    <w:p w14:paraId="5F1BD01D" w14:textId="448DDD6E" w:rsidR="00186518" w:rsidRPr="0049567B" w:rsidRDefault="00186518" w:rsidP="00AE689A">
      <w:pPr>
        <w:spacing w:after="0" w:line="360" w:lineRule="auto"/>
        <w:rPr>
          <w:rFonts w:ascii="Verdana" w:eastAsia="Times New Roman" w:hAnsi="Verdana" w:cs="Arial"/>
          <w:b/>
          <w:bCs/>
          <w:sz w:val="24"/>
          <w:szCs w:val="24"/>
          <w:lang w:val="es-ES" w:eastAsia="es-ES"/>
        </w:rPr>
      </w:pPr>
      <w:r w:rsidRPr="0049567B">
        <w:rPr>
          <w:rFonts w:ascii="Verdana" w:eastAsia="Times New Roman" w:hAnsi="Verdana" w:cs="Arial"/>
          <w:b/>
          <w:bCs/>
          <w:sz w:val="24"/>
          <w:szCs w:val="24"/>
          <w:lang w:val="es-ES" w:eastAsia="es-ES"/>
        </w:rPr>
        <w:t xml:space="preserve">El método </w:t>
      </w:r>
      <w:r w:rsidR="00D224B2" w:rsidRPr="0049567B">
        <w:rPr>
          <w:rFonts w:ascii="Verdana" w:eastAsia="Times New Roman" w:hAnsi="Verdana" w:cs="Arial"/>
          <w:b/>
          <w:bCs/>
          <w:sz w:val="24"/>
          <w:szCs w:val="24"/>
          <w:lang w:val="es-ES" w:eastAsia="es-ES"/>
        </w:rPr>
        <w:t xml:space="preserve">o criterio </w:t>
      </w:r>
      <w:r w:rsidRPr="0049567B">
        <w:rPr>
          <w:rFonts w:ascii="Verdana" w:eastAsia="Times New Roman" w:hAnsi="Verdana" w:cs="Arial"/>
          <w:b/>
          <w:bCs/>
          <w:sz w:val="24"/>
          <w:szCs w:val="24"/>
          <w:lang w:val="es-ES" w:eastAsia="es-ES"/>
        </w:rPr>
        <w:t>gramatical, literal o el semántico</w:t>
      </w:r>
    </w:p>
    <w:p w14:paraId="07A101AB" w14:textId="77777777" w:rsidR="0049567B" w:rsidRDefault="0049567B" w:rsidP="00AE689A">
      <w:pPr>
        <w:spacing w:after="0" w:line="360" w:lineRule="auto"/>
        <w:rPr>
          <w:rFonts w:ascii="Verdana" w:eastAsia="Times New Roman" w:hAnsi="Verdana" w:cs="Arial"/>
          <w:sz w:val="24"/>
          <w:szCs w:val="24"/>
          <w:lang w:val="es-ES" w:eastAsia="es-ES"/>
        </w:rPr>
      </w:pPr>
    </w:p>
    <w:p w14:paraId="490BDE66" w14:textId="0AE17DBA"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Conforme Badeni, el </w:t>
      </w:r>
      <w:r w:rsidR="00D224B2">
        <w:rPr>
          <w:rFonts w:ascii="Verdana" w:eastAsia="Times New Roman" w:hAnsi="Verdana" w:cs="Arial"/>
          <w:sz w:val="24"/>
          <w:szCs w:val="24"/>
          <w:lang w:val="es-ES" w:eastAsia="es-ES"/>
        </w:rPr>
        <w:t xml:space="preserve">criterio, regla o </w:t>
      </w:r>
      <w:r w:rsidRPr="00186518">
        <w:rPr>
          <w:rFonts w:ascii="Verdana" w:eastAsia="Times New Roman" w:hAnsi="Verdana" w:cs="Arial"/>
          <w:sz w:val="24"/>
          <w:szCs w:val="24"/>
          <w:lang w:val="es-ES" w:eastAsia="es-ES"/>
        </w:rPr>
        <w:t xml:space="preserve">método gramatical o literal consiste en “desentrañar de manera uniforme el significado gramatical de las </w:t>
      </w:r>
      <w:r w:rsidRPr="00186518">
        <w:rPr>
          <w:rFonts w:ascii="Verdana" w:eastAsia="Times New Roman" w:hAnsi="Verdana" w:cs="Arial"/>
          <w:sz w:val="24"/>
          <w:szCs w:val="24"/>
          <w:lang w:val="es-ES" w:eastAsia="es-ES"/>
        </w:rPr>
        <w:lastRenderedPageBreak/>
        <w:t>palabras empleadas en el texto de la norma y en respetar ese significado sin restringir ni ampliar su alcance”</w:t>
      </w:r>
      <w:r w:rsidRPr="00186518">
        <w:rPr>
          <w:rFonts w:ascii="Verdana" w:eastAsia="Times New Roman" w:hAnsi="Verdana" w:cs="Arial"/>
          <w:sz w:val="24"/>
          <w:szCs w:val="24"/>
          <w:vertAlign w:val="superscript"/>
          <w:lang w:val="es-ES" w:eastAsia="es-ES"/>
        </w:rPr>
        <w:footnoteReference w:id="52"/>
      </w:r>
      <w:r w:rsidRPr="00186518">
        <w:rPr>
          <w:rFonts w:ascii="Verdana" w:eastAsia="Times New Roman" w:hAnsi="Verdana" w:cs="Arial"/>
          <w:sz w:val="24"/>
          <w:szCs w:val="24"/>
          <w:lang w:val="es-ES" w:eastAsia="es-ES"/>
        </w:rPr>
        <w:t xml:space="preserve">. </w:t>
      </w:r>
    </w:p>
    <w:p w14:paraId="675FBE2D" w14:textId="72EC4C0A"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Roberto Vernengo señala la trascendencia de este método y su vinculación con la hermenéutica de los textos sagrados, explicando que</w:t>
      </w:r>
      <w:r w:rsidR="00EF579A">
        <w:rPr>
          <w:rFonts w:ascii="Verdana" w:eastAsia="Times New Roman" w:hAnsi="Verdana" w:cs="Arial"/>
          <w:sz w:val="24"/>
          <w:szCs w:val="24"/>
          <w:lang w:val="es-ES" w:eastAsia="es-ES"/>
        </w:rPr>
        <w:t>,</w:t>
      </w:r>
      <w:r w:rsidRPr="00186518">
        <w:rPr>
          <w:rFonts w:ascii="Verdana" w:eastAsia="Times New Roman" w:hAnsi="Verdana" w:cs="Arial"/>
          <w:sz w:val="24"/>
          <w:szCs w:val="24"/>
          <w:lang w:val="es-ES" w:eastAsia="es-ES"/>
        </w:rPr>
        <w:t xml:space="preserve"> en la teoría del derecho, el problema de la interpretación literal o gramatical se había desarrollado por los carriles establecidos, siglos atrás, por la interpretación de los textos bíblicos cuyo tenor literal era considerado sagrado. Por consiguiente, las leyes también fueron objeto de sacralización, y la interpretación del texto legal se atuvo a las recetas de la interpretación bíblica.</w:t>
      </w:r>
      <w:r w:rsidRPr="00186518">
        <w:rPr>
          <w:rFonts w:ascii="Verdana" w:eastAsia="Times New Roman" w:hAnsi="Verdana" w:cs="Arial"/>
          <w:sz w:val="24"/>
          <w:szCs w:val="24"/>
          <w:vertAlign w:val="superscript"/>
          <w:lang w:val="es-ES" w:eastAsia="es-ES"/>
        </w:rPr>
        <w:footnoteReference w:id="53"/>
      </w:r>
    </w:p>
    <w:p w14:paraId="5F0FBD5B"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Esto admitiría dos variantes posibles. La primera se trataría de asignar a las palabras el sentido que tenían al ser elaboradas. Ello vincularía esta noción con la posición originalista, que se expondrá luego. La otra, por el contrario, trataría de atribuirle a las palabras de la norma el sentido que poseen en el momento de ser interpretadas. Esta última posición estaría más vinculada a la posición constructivista, que también será posteriormente. En los dos casos, además, se puede distinguir entre el significado técnico o el vulgar de los vocablos. Este método es criticado por Badeni, quien señala que muchas veces puede llevar a soluciones irrazonables. </w:t>
      </w:r>
    </w:p>
    <w:p w14:paraId="79E0334E" w14:textId="0F045A6E"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ab/>
        <w:t>Distingue este jurista el</w:t>
      </w:r>
      <w:r w:rsidR="00433C7E">
        <w:rPr>
          <w:rFonts w:ascii="Verdana" w:eastAsia="Times New Roman" w:hAnsi="Verdana" w:cs="Arial"/>
          <w:sz w:val="24"/>
          <w:szCs w:val="24"/>
          <w:lang w:val="es-ES" w:eastAsia="es-ES"/>
        </w:rPr>
        <w:t xml:space="preserve"> criterio</w:t>
      </w:r>
      <w:r w:rsidRPr="00186518">
        <w:rPr>
          <w:rFonts w:ascii="Verdana" w:eastAsia="Times New Roman" w:hAnsi="Verdana" w:cs="Arial"/>
          <w:sz w:val="24"/>
          <w:szCs w:val="24"/>
          <w:lang w:val="es-ES" w:eastAsia="es-ES"/>
        </w:rPr>
        <w:t xml:space="preserve"> gramatical del que él denomina semántico. En este caso, se parte de la noción de que todo vocablo expresado en una constitución responde a una idea o concepto determinado. Por ello no pueden descartarse a priori términos por ser considerados superfluos o innecesarios. Según Badeni la interpretación semántica es recomendable en los casos en que las palabras empleadas </w:t>
      </w:r>
      <w:r w:rsidRPr="00186518">
        <w:rPr>
          <w:rFonts w:ascii="Verdana" w:eastAsia="Times New Roman" w:hAnsi="Verdana" w:cs="Arial"/>
          <w:sz w:val="24"/>
          <w:szCs w:val="24"/>
          <w:lang w:val="es-ES" w:eastAsia="es-ES"/>
        </w:rPr>
        <w:lastRenderedPageBreak/>
        <w:t>por el constituyente tengan un significado indeterminado, ambiguo, carente de claridad. O también cuando si el Constituyente ha incurrido en errores de redacción o de coherencia al redactar la norma.</w:t>
      </w:r>
      <w:r w:rsidRPr="00186518">
        <w:rPr>
          <w:rFonts w:ascii="Verdana" w:eastAsia="Times New Roman" w:hAnsi="Verdana" w:cs="Arial"/>
          <w:sz w:val="24"/>
          <w:szCs w:val="24"/>
          <w:vertAlign w:val="superscript"/>
          <w:lang w:val="es-ES" w:eastAsia="es-ES"/>
        </w:rPr>
        <w:footnoteReference w:id="54"/>
      </w:r>
    </w:p>
    <w:p w14:paraId="291D4314"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ab/>
        <w:t>El método semántico se diferencia del meramente gramatical, según Badeni, ya que el primero debe ser el realizado con razonabilidad y lógica, apartándose de una aplicación rigurosa del significado de las palabras que pueda distorsionar su sentido. El objetivo sería el de desentrañar el real significado del término yendo si es necesario más allá de su definición gramatical o lexicográfica. En tal sentido, nuestra Corte Suprema ha señalado que: “la interpretación de las leyes debe practicarse teniendo en cuenta el contexto general y los fines que la informan (Fallos: 285:322) y a ese objeto la labor del intérprete debe ajustarse a un examen atento y profundo de sus términos que consulte la racionalidad del precepto y la voluntad del legislador, extremos que no deben ser obviados por las posibles imperfecciones técnicas de la instrumentación legal, precisamente para evitar la frustración de los objetivos de la norma”</w:t>
      </w:r>
      <w:r w:rsidRPr="00186518">
        <w:rPr>
          <w:rFonts w:ascii="Verdana" w:eastAsia="Times New Roman" w:hAnsi="Verdana" w:cs="Arial"/>
          <w:sz w:val="24"/>
          <w:szCs w:val="24"/>
          <w:vertAlign w:val="superscript"/>
          <w:lang w:val="es-ES" w:eastAsia="es-ES"/>
        </w:rPr>
        <w:footnoteReference w:id="55"/>
      </w:r>
      <w:r w:rsidRPr="00186518">
        <w:rPr>
          <w:rFonts w:ascii="Verdana" w:eastAsia="Times New Roman" w:hAnsi="Verdana" w:cs="Arial"/>
          <w:sz w:val="24"/>
          <w:szCs w:val="24"/>
          <w:lang w:val="es-ES" w:eastAsia="es-ES"/>
        </w:rPr>
        <w:t xml:space="preserve"> </w:t>
      </w:r>
    </w:p>
    <w:p w14:paraId="62A326F6"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ab/>
        <w:t>Abordando la cuestión de la interpretación literal, Linares Quintana manifiesta que sería aconsejable que las normas constitucionales se caracterizaran por su claridad y concisión, a los fines de evitar problemas hermenéuticos.</w:t>
      </w:r>
      <w:r w:rsidRPr="00186518">
        <w:rPr>
          <w:rFonts w:ascii="Verdana" w:eastAsia="Times New Roman" w:hAnsi="Verdana" w:cs="Arial"/>
          <w:sz w:val="24"/>
          <w:szCs w:val="24"/>
          <w:vertAlign w:val="superscript"/>
          <w:lang w:val="es-ES" w:eastAsia="es-ES"/>
        </w:rPr>
        <w:footnoteReference w:id="56"/>
      </w:r>
      <w:r w:rsidRPr="00186518">
        <w:rPr>
          <w:rFonts w:ascii="Verdana" w:eastAsia="Times New Roman" w:hAnsi="Verdana" w:cs="Arial"/>
          <w:sz w:val="24"/>
          <w:szCs w:val="24"/>
          <w:lang w:val="es-ES" w:eastAsia="es-ES"/>
        </w:rPr>
        <w:t xml:space="preserve"> Este jurista no aconseja la utilización de terminología jurídica rigurosa en su redacción. </w:t>
      </w:r>
    </w:p>
    <w:p w14:paraId="281A9D43" w14:textId="2219ABAF"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ab/>
        <w:t xml:space="preserve">A modo de evaluación crítica, podemos concluir que el </w:t>
      </w:r>
      <w:r w:rsidR="00E170FF">
        <w:rPr>
          <w:rFonts w:ascii="Verdana" w:eastAsia="Times New Roman" w:hAnsi="Verdana" w:cs="Arial"/>
          <w:sz w:val="24"/>
          <w:szCs w:val="24"/>
          <w:lang w:val="es-ES" w:eastAsia="es-ES"/>
        </w:rPr>
        <w:t>criteri</w:t>
      </w:r>
      <w:r w:rsidRPr="00186518">
        <w:rPr>
          <w:rFonts w:ascii="Verdana" w:eastAsia="Times New Roman" w:hAnsi="Verdana" w:cs="Arial"/>
          <w:sz w:val="24"/>
          <w:szCs w:val="24"/>
          <w:lang w:val="es-ES" w:eastAsia="es-ES"/>
        </w:rPr>
        <w:t xml:space="preserve">o gramatical, si bien es importante, necesario, y muchas veces el primer método que debe utilizarse al interpretar una norma jurídica constitucional o legal, no siempre es suficiente para realizar una hermenéutica completa. Conspiran contra esto algunas inconsistencias </w:t>
      </w:r>
      <w:r w:rsidRPr="00186518">
        <w:rPr>
          <w:rFonts w:ascii="Verdana" w:eastAsia="Times New Roman" w:hAnsi="Verdana" w:cs="Arial"/>
          <w:sz w:val="24"/>
          <w:szCs w:val="24"/>
          <w:lang w:val="es-ES" w:eastAsia="es-ES"/>
        </w:rPr>
        <w:lastRenderedPageBreak/>
        <w:t xml:space="preserve">propias de los lenguajes naturales, que conforman toda norma jurídica, como la ambigüedad, la vaguedad y la textura abierta del lenguaje. Este método es, más que nada, un punto de partida. </w:t>
      </w:r>
    </w:p>
    <w:p w14:paraId="200FCA6A"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ab/>
      </w:r>
      <w:r w:rsidRPr="00186518">
        <w:rPr>
          <w:rFonts w:ascii="Verdana" w:eastAsia="Times New Roman" w:hAnsi="Verdana" w:cs="Arial"/>
          <w:sz w:val="24"/>
          <w:szCs w:val="24"/>
          <w:lang w:val="es-ES" w:eastAsia="es-ES"/>
        </w:rPr>
        <w:tab/>
      </w:r>
    </w:p>
    <w:p w14:paraId="18D50B65" w14:textId="12E3DB19" w:rsidR="00186518" w:rsidRDefault="00186518" w:rsidP="00AE689A">
      <w:pPr>
        <w:spacing w:after="0" w:line="360" w:lineRule="auto"/>
        <w:rPr>
          <w:rFonts w:ascii="Verdana" w:eastAsia="Times New Roman" w:hAnsi="Verdana" w:cs="Arial"/>
          <w:b/>
          <w:bCs/>
          <w:sz w:val="24"/>
          <w:szCs w:val="24"/>
          <w:lang w:val="es-ES" w:eastAsia="es-ES"/>
        </w:rPr>
      </w:pPr>
      <w:r w:rsidRPr="00830C03">
        <w:rPr>
          <w:rFonts w:ascii="Verdana" w:eastAsia="Times New Roman" w:hAnsi="Verdana" w:cs="Arial"/>
          <w:b/>
          <w:bCs/>
          <w:sz w:val="24"/>
          <w:szCs w:val="24"/>
          <w:lang w:val="es-ES" w:eastAsia="es-ES"/>
        </w:rPr>
        <w:t xml:space="preserve">El </w:t>
      </w:r>
      <w:r w:rsidR="00E170FF" w:rsidRPr="00830C03">
        <w:rPr>
          <w:rFonts w:ascii="Verdana" w:eastAsia="Times New Roman" w:hAnsi="Verdana" w:cs="Arial"/>
          <w:b/>
          <w:bCs/>
          <w:sz w:val="24"/>
          <w:szCs w:val="24"/>
          <w:lang w:val="es-ES" w:eastAsia="es-ES"/>
        </w:rPr>
        <w:t xml:space="preserve">criterio o </w:t>
      </w:r>
      <w:r w:rsidRPr="00830C03">
        <w:rPr>
          <w:rFonts w:ascii="Verdana" w:eastAsia="Times New Roman" w:hAnsi="Verdana" w:cs="Arial"/>
          <w:b/>
          <w:bCs/>
          <w:sz w:val="24"/>
          <w:szCs w:val="24"/>
          <w:lang w:val="es-ES" w:eastAsia="es-ES"/>
        </w:rPr>
        <w:t>método sistemático</w:t>
      </w:r>
    </w:p>
    <w:p w14:paraId="4A590B73" w14:textId="77777777" w:rsidR="003F714B" w:rsidRPr="00830C03" w:rsidRDefault="003F714B" w:rsidP="00AE689A">
      <w:pPr>
        <w:spacing w:after="0" w:line="360" w:lineRule="auto"/>
        <w:rPr>
          <w:rFonts w:ascii="Verdana" w:eastAsia="Times New Roman" w:hAnsi="Verdana" w:cs="Arial"/>
          <w:b/>
          <w:bCs/>
          <w:sz w:val="24"/>
          <w:szCs w:val="24"/>
          <w:lang w:val="es-ES" w:eastAsia="es-ES"/>
        </w:rPr>
      </w:pPr>
    </w:p>
    <w:p w14:paraId="4022CEB9" w14:textId="0CC4548E"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Sobre esta cuestión es de relevancia analizar en primer lugar la postura de Zuleta Puceiro. Dicho jurista coincide con la idea de la amplitud de la Constitución, y resalta su importancia social e institucional. En este orden de ideas destaca que una Constitución es un programa de vida colectivo. Y sus normas conforman un conjunto de valores, declaraciones, normas, instituciones, criterios éticos y políticos, instrumentos para equilibrar el ejercicio de los derechos y el funcionamiento del poder.</w:t>
      </w:r>
      <w:r w:rsidRPr="00186518">
        <w:rPr>
          <w:rFonts w:ascii="Verdana" w:eastAsia="Times New Roman" w:hAnsi="Verdana" w:cs="Arial"/>
          <w:sz w:val="24"/>
          <w:szCs w:val="24"/>
          <w:vertAlign w:val="superscript"/>
          <w:lang w:val="es-ES" w:eastAsia="es-ES"/>
        </w:rPr>
        <w:footnoteReference w:id="57"/>
      </w:r>
      <w:r w:rsidRPr="00186518">
        <w:rPr>
          <w:rFonts w:ascii="Verdana" w:eastAsia="Times New Roman" w:hAnsi="Verdana" w:cs="Arial"/>
          <w:sz w:val="24"/>
          <w:szCs w:val="24"/>
          <w:lang w:val="es-ES" w:eastAsia="es-ES"/>
        </w:rPr>
        <w:t xml:space="preserve"> Asimismo, indica por su parte que debería privilegiarse o tenerse siempre en cuenta la idea de unidad o interpretación sistemática en el caso de la hermenéutica constitucional. </w:t>
      </w:r>
    </w:p>
    <w:p w14:paraId="12616F6B"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También manifiesta que la única forma cabal de entender las cláusulas constitucionales es proceder a una lectura sistémica, integral y armónica de sus instituciones y normas, que permita apreciar aquello que los ciudadanos y los poderes públicos podrán y deberán hacer en el futuro. La interpretación de la Constitución procura desentrañar el sentido de lo que la norma comporta en un caso determinado y debe, por tanto, considerar, más allá de su literalidad, su sentido histórico proyectado hacia el futuro.</w:t>
      </w:r>
      <w:r w:rsidRPr="00186518">
        <w:rPr>
          <w:rFonts w:ascii="Verdana" w:eastAsia="Times New Roman" w:hAnsi="Verdana" w:cs="Arial"/>
          <w:sz w:val="24"/>
          <w:szCs w:val="24"/>
          <w:vertAlign w:val="superscript"/>
          <w:lang w:val="es-ES" w:eastAsia="es-ES"/>
        </w:rPr>
        <w:footnoteReference w:id="58"/>
      </w:r>
      <w:r w:rsidRPr="00186518">
        <w:rPr>
          <w:rFonts w:ascii="Verdana" w:eastAsia="Times New Roman" w:hAnsi="Verdana" w:cs="Arial"/>
          <w:sz w:val="24"/>
          <w:szCs w:val="24"/>
          <w:lang w:val="es-ES" w:eastAsia="es-ES"/>
        </w:rPr>
        <w:t xml:space="preserve"> </w:t>
      </w:r>
    </w:p>
    <w:p w14:paraId="3EFC180A" w14:textId="7DF53D4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El autor elabora, en el marco de las directivas de interpretación sistémica, dos reglas vinculadas expresamente con la hermenéutica constitucional. Ellas llevan los números 8 y 11. La primera de ellas dice </w:t>
      </w:r>
      <w:r w:rsidRPr="00186518">
        <w:rPr>
          <w:rFonts w:ascii="Verdana" w:eastAsia="Times New Roman" w:hAnsi="Verdana" w:cs="Arial"/>
          <w:sz w:val="24"/>
          <w:szCs w:val="24"/>
          <w:lang w:val="es-ES" w:eastAsia="es-ES"/>
        </w:rPr>
        <w:lastRenderedPageBreak/>
        <w:t xml:space="preserve">que: “El preámbulo es un elemento </w:t>
      </w:r>
      <w:r w:rsidR="003A6BFC">
        <w:rPr>
          <w:rFonts w:ascii="Verdana" w:eastAsia="Times New Roman" w:hAnsi="Verdana" w:cs="Arial"/>
          <w:sz w:val="24"/>
          <w:szCs w:val="24"/>
          <w:lang w:val="es-ES" w:eastAsia="es-ES"/>
        </w:rPr>
        <w:t>par</w:t>
      </w:r>
      <w:r w:rsidRPr="00186518">
        <w:rPr>
          <w:rFonts w:ascii="Verdana" w:eastAsia="Times New Roman" w:hAnsi="Verdana" w:cs="Arial"/>
          <w:sz w:val="24"/>
          <w:szCs w:val="24"/>
          <w:lang w:val="es-ES" w:eastAsia="es-ES"/>
        </w:rPr>
        <w:t>a tener en cuenta en la atribución de significado a una regla legal, siempre que este sea conforme con la Constitución”</w:t>
      </w:r>
      <w:r w:rsidRPr="00186518">
        <w:rPr>
          <w:rFonts w:ascii="Verdana" w:eastAsia="Times New Roman" w:hAnsi="Verdana" w:cs="Arial"/>
          <w:sz w:val="24"/>
          <w:szCs w:val="24"/>
          <w:vertAlign w:val="superscript"/>
          <w:lang w:val="es-ES" w:eastAsia="es-ES"/>
        </w:rPr>
        <w:footnoteReference w:id="59"/>
      </w:r>
      <w:r w:rsidRPr="00186518">
        <w:rPr>
          <w:rFonts w:ascii="Verdana" w:eastAsia="Times New Roman" w:hAnsi="Verdana" w:cs="Arial"/>
          <w:sz w:val="24"/>
          <w:szCs w:val="24"/>
          <w:lang w:val="es-ES" w:eastAsia="es-ES"/>
        </w:rPr>
        <w:t>. La segunda regla indicada expresa: “A una regla constitucional se le debería atribuir aquel significado sugerido por todo el texto constitucional”</w:t>
      </w:r>
      <w:r w:rsidRPr="00186518">
        <w:rPr>
          <w:rFonts w:ascii="Verdana" w:eastAsia="Times New Roman" w:hAnsi="Verdana" w:cs="Arial"/>
          <w:sz w:val="24"/>
          <w:szCs w:val="24"/>
          <w:vertAlign w:val="superscript"/>
          <w:lang w:val="es-ES" w:eastAsia="es-ES"/>
        </w:rPr>
        <w:footnoteReference w:id="60"/>
      </w:r>
      <w:r w:rsidRPr="00186518">
        <w:rPr>
          <w:rFonts w:ascii="Verdana" w:eastAsia="Times New Roman" w:hAnsi="Verdana" w:cs="Arial"/>
          <w:sz w:val="24"/>
          <w:szCs w:val="24"/>
          <w:lang w:val="es-ES" w:eastAsia="es-ES"/>
        </w:rPr>
        <w:t xml:space="preserve"> </w:t>
      </w:r>
    </w:p>
    <w:p w14:paraId="68330C00"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Es más, Zuleta Puceiro remarca en el contexto de la hermenéutica sistemática, la noción de coherencia interpretativa. Dicho criterio implica que la interpretación de un texto normativo debe evitar las antinomias entre sus distintas disposiciones.</w:t>
      </w:r>
      <w:r w:rsidRPr="00186518">
        <w:rPr>
          <w:rFonts w:ascii="Verdana" w:eastAsia="Times New Roman" w:hAnsi="Verdana" w:cs="Arial"/>
          <w:sz w:val="24"/>
          <w:szCs w:val="24"/>
          <w:vertAlign w:val="superscript"/>
          <w:lang w:val="es-ES" w:eastAsia="es-ES"/>
        </w:rPr>
        <w:footnoteReference w:id="61"/>
      </w:r>
      <w:r w:rsidRPr="00186518">
        <w:rPr>
          <w:rFonts w:ascii="Verdana" w:eastAsia="Times New Roman" w:hAnsi="Verdana" w:cs="Arial"/>
          <w:sz w:val="24"/>
          <w:szCs w:val="24"/>
          <w:lang w:val="es-ES" w:eastAsia="es-ES"/>
        </w:rPr>
        <w:t xml:space="preserve"> En otra de sus obras, el jusfilósofo analizado establece además como directivas sistémicas aquellas que exigen, aparte de evitar las antinomias, la exigencia de elegir la interpretación más coherente con las restantes normas del sistema. </w:t>
      </w:r>
    </w:p>
    <w:p w14:paraId="09604A13"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Se entiende así a la interpretación sistémica como interpretación armónica. Y ella alcanza tanto al contexto de la norma (interpretación sistemática extrínseca) como a su coherencia con los principios de la materia o rama del derecho de que se trata (interpretación intrínseca).</w:t>
      </w:r>
      <w:r w:rsidRPr="00186518">
        <w:rPr>
          <w:rFonts w:ascii="Verdana" w:eastAsia="Times New Roman" w:hAnsi="Verdana" w:cs="Arial"/>
          <w:sz w:val="24"/>
          <w:szCs w:val="24"/>
          <w:vertAlign w:val="superscript"/>
          <w:lang w:val="es-ES" w:eastAsia="es-ES"/>
        </w:rPr>
        <w:footnoteReference w:id="62"/>
      </w:r>
      <w:r w:rsidRPr="00186518">
        <w:rPr>
          <w:rFonts w:ascii="Verdana" w:eastAsia="Times New Roman" w:hAnsi="Verdana" w:cs="Arial"/>
          <w:sz w:val="24"/>
          <w:szCs w:val="24"/>
          <w:lang w:val="es-ES" w:eastAsia="es-ES"/>
        </w:rPr>
        <w:t xml:space="preserve"> </w:t>
      </w:r>
    </w:p>
    <w:p w14:paraId="4E0667DC" w14:textId="670E0EB9"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Por su parte. Linares Quintana define la interpretación sistemática, o enfoque sistemático, como principio vertebral de la hermenéutica. Para este jurista, nunca debe olvidarse que un texto constitucional es en realidad un sistema, o sea, un cuerpo orgánico integrado por principios y normas racionalmente entrelazados entre sí. Ello plantea el problema de la armonía interna, de la coherencia y de la homogeneidad de ese instrumento fundamental.</w:t>
      </w:r>
      <w:r w:rsidRPr="00186518">
        <w:rPr>
          <w:rFonts w:ascii="Verdana" w:eastAsia="Times New Roman" w:hAnsi="Verdana" w:cs="Arial"/>
          <w:sz w:val="24"/>
          <w:szCs w:val="24"/>
          <w:vertAlign w:val="superscript"/>
          <w:lang w:val="es-ES" w:eastAsia="es-ES"/>
        </w:rPr>
        <w:footnoteReference w:id="63"/>
      </w:r>
    </w:p>
    <w:p w14:paraId="66CB3C29" w14:textId="404B4C4E"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Hay numerosos ejemplos de la jurisprudencia de nuestro Máximo Tribunal relativos a la interpretación sistemática de la Constitución. </w:t>
      </w:r>
      <w:r w:rsidRPr="00186518">
        <w:rPr>
          <w:rFonts w:ascii="Verdana" w:eastAsia="Times New Roman" w:hAnsi="Verdana" w:cs="Arial"/>
          <w:sz w:val="24"/>
          <w:szCs w:val="24"/>
          <w:lang w:val="es-ES" w:eastAsia="es-ES"/>
        </w:rPr>
        <w:lastRenderedPageBreak/>
        <w:t xml:space="preserve">Entre muchos otros, podemos indicar que la Corte Suprema señaló que: “…la interpretación del instrumento político que nos rige no debe hacerse poniendo frente a frente a las facultades enumeradas por él para que se destruyan recíprocamente, sino armonizándolas dentro del espíritu que les dio vida, ya que la Ley Fundamental es una estructura sistemática; sus distintas partes forman un todo coherente y en la inteligencia de una de sus cláusulas ha de cuidarse que no se altere el equilibrio del conjunto” (“García de Machado, Sara c/ Caja de Jubilaciones de la Provincia de Córdoba, CSJN, 19/9/89, Fallos: 312:1681. Este fallo no se analizará posteriormente ya que en la colección Fallos de la Corte Suprema solamente se encuentran los sumarios). </w:t>
      </w:r>
    </w:p>
    <w:p w14:paraId="1DCFD78C"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Por otra parte, también señaló que: “…no puede constituir criterio interpretativo válido el de anular unas normas constitucionales por aplicación de otras, sino que debe analizarse el conjunto de como un todo armónico, dentro del cual cada disposición ha de interpretarse de acuerdo con el contenido de las demás…” (Repetto, Inés M. c/ Provincia de Buenos Aires, CSJN, 8/11/1988, Fallos: 311:2272)</w:t>
      </w:r>
      <w:r w:rsidRPr="00186518">
        <w:rPr>
          <w:rFonts w:ascii="Verdana" w:eastAsia="Times New Roman" w:hAnsi="Verdana" w:cs="Arial"/>
          <w:sz w:val="24"/>
          <w:szCs w:val="24"/>
          <w:vertAlign w:val="superscript"/>
          <w:lang w:val="es-ES" w:eastAsia="es-ES"/>
        </w:rPr>
        <w:footnoteReference w:id="64"/>
      </w:r>
      <w:r w:rsidRPr="00186518">
        <w:rPr>
          <w:rFonts w:ascii="Verdana" w:eastAsia="Times New Roman" w:hAnsi="Verdana" w:cs="Arial"/>
          <w:sz w:val="24"/>
          <w:szCs w:val="24"/>
          <w:lang w:val="es-ES" w:eastAsia="es-ES"/>
        </w:rPr>
        <w:t xml:space="preserve">. </w:t>
      </w:r>
    </w:p>
    <w:p w14:paraId="498CE9DB" w14:textId="6823D3C2"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Justo es reconocer que algunas veces la directiva de la interpretación sistemática sirvió para justificar el reconocimiento de mayores atribuciones a los poderes estatales, si bien no podemos de ninguna manera identificar mecánicamente este criterio interpretativo con dicha postura, tal como se comprende a partir del fallo reseñado precedentemente. Dentro de las sentencias que reconocen estas mayores facultades estatales podemos destacar varias sentencias. </w:t>
      </w:r>
    </w:p>
    <w:p w14:paraId="3DF441C9"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En tal sentido, el Alto Tribunal señaló que: “Las normas de la Constitución, como las de toda ley, deben ser interpretadas en forma </w:t>
      </w:r>
      <w:r w:rsidRPr="00186518">
        <w:rPr>
          <w:rFonts w:ascii="Verdana" w:eastAsia="Times New Roman" w:hAnsi="Verdana" w:cs="Arial"/>
          <w:sz w:val="24"/>
          <w:szCs w:val="24"/>
          <w:lang w:val="es-ES" w:eastAsia="es-ES"/>
        </w:rPr>
        <w:lastRenderedPageBreak/>
        <w:t xml:space="preserve">coherente, de manera que armonicen entre ellas y no traben el eficaz y justo desempeño de los poderes atribuidos al Estado para el cumplimiento de sus fines, del modo más beneficioso para la comunidad y los individuos que la forman” (Grisolía, Francisco M., CSJN 23/4/56, LL 82-690). </w:t>
      </w:r>
    </w:p>
    <w:p w14:paraId="5E8CA3F2"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En un notorio leading case donde la Corte reconoció y enmarcó la constitucionalidad de los tribunales administrativos, se expresó que: “El artículo 67, inciso 16 de la Constitución Nacional, debe interpretarse cuidando que sus efectos sean compatibles con los demás derechos constitucionales, sean de la Nación o de las Provincias, o bien se trate de derechos individuales” (voto de los Doctores Boffi Boggero y Aberastury in re: Fernández Arias c/ Poggio, CSJN 19/9/60, LL 100-58). </w:t>
      </w:r>
    </w:p>
    <w:p w14:paraId="114CBBC8" w14:textId="77777777" w:rsidR="00052021"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También en un polémico fallo que convalidó la constitucionalidad (y con amplio alcance) de los decretos de necesidad y urgencia antes de que ellos tuvieran recepción expresa en la Constitución Nacional, basado en la doctrina de la emergencia socioeconómica, nuestra Corte Suprema se basó en el criterio sistemático, entre otros. En dicha oportunidad señaló que: “La división de poderes no debe interpretarse en términos que equivalgan al desmembramiento del Estado, de modo que cada uno de sus departamentos actúe aisladamente, en detrimento de la unidad nacional, a la que interesa no sólo la integración de las Provincias y la Nación, sino también el armonioso desenvolvimiento de los Poderes Nacionales” (Peralta, Luis A. c/ Estado Nacional – Ministerio de Economía Banco Central, CSJN, 27/12/90, LL 1991-C-158).</w:t>
      </w:r>
    </w:p>
    <w:p w14:paraId="73B3660D" w14:textId="0803B53E"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Daniel Sabsay destaca la importancia de este </w:t>
      </w:r>
      <w:r w:rsidR="00491F27">
        <w:rPr>
          <w:rFonts w:ascii="Verdana" w:eastAsia="Times New Roman" w:hAnsi="Verdana" w:cs="Arial"/>
          <w:sz w:val="24"/>
          <w:szCs w:val="24"/>
          <w:lang w:val="es-ES" w:eastAsia="es-ES"/>
        </w:rPr>
        <w:t>criterio</w:t>
      </w:r>
      <w:r w:rsidRPr="00186518">
        <w:rPr>
          <w:rFonts w:ascii="Verdana" w:eastAsia="Times New Roman" w:hAnsi="Verdana" w:cs="Arial"/>
          <w:sz w:val="24"/>
          <w:szCs w:val="24"/>
          <w:lang w:val="es-ES" w:eastAsia="es-ES"/>
        </w:rPr>
        <w:t xml:space="preserve"> interpretativo. Lo denomina integrador, señalando que la Constitución es un único instrumento compuesto por una pluralidad de cláusulas que deben ser interpretadas de manera armónica y no de forma aislada. El intérprete se encuentra frente a un cuerpo único, a una suerte de código que encierra las normas fundamentales de un Estado. Y ello lo obliga a que </w:t>
      </w:r>
      <w:r w:rsidRPr="00186518">
        <w:rPr>
          <w:rFonts w:ascii="Verdana" w:eastAsia="Times New Roman" w:hAnsi="Verdana" w:cs="Arial"/>
          <w:sz w:val="24"/>
          <w:szCs w:val="24"/>
          <w:lang w:val="es-ES" w:eastAsia="es-ES"/>
        </w:rPr>
        <w:lastRenderedPageBreak/>
        <w:t>toda vez que haya que considerar lo que expresa una norma relativa a una cierta cuestión, el análisis deba ser hecho a la luz de todas las restantes disposiciones concordantes. En esto consiste la interpretación integradora.</w:t>
      </w:r>
      <w:r w:rsidRPr="00186518">
        <w:rPr>
          <w:rFonts w:ascii="Verdana" w:eastAsia="Times New Roman" w:hAnsi="Verdana" w:cs="Arial"/>
          <w:sz w:val="24"/>
          <w:szCs w:val="24"/>
          <w:vertAlign w:val="superscript"/>
          <w:lang w:val="es-ES" w:eastAsia="es-ES"/>
        </w:rPr>
        <w:footnoteReference w:id="65"/>
      </w:r>
    </w:p>
    <w:p w14:paraId="445EEF04" w14:textId="47CC9A3C"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Concluimos entonces que el </w:t>
      </w:r>
      <w:r w:rsidR="00491F27">
        <w:rPr>
          <w:rFonts w:ascii="Verdana" w:eastAsia="Times New Roman" w:hAnsi="Verdana" w:cs="Arial"/>
          <w:sz w:val="24"/>
          <w:szCs w:val="24"/>
          <w:lang w:val="es-ES" w:eastAsia="es-ES"/>
        </w:rPr>
        <w:t xml:space="preserve">criterio, regla o </w:t>
      </w:r>
      <w:r w:rsidRPr="00186518">
        <w:rPr>
          <w:rFonts w:ascii="Verdana" w:eastAsia="Times New Roman" w:hAnsi="Verdana" w:cs="Arial"/>
          <w:sz w:val="24"/>
          <w:szCs w:val="24"/>
          <w:lang w:val="es-ES" w:eastAsia="es-ES"/>
        </w:rPr>
        <w:t xml:space="preserve">método sistemático, que resalta o defiende los principios de unidad y coherencia de la norma constitucional, es de fundamental importancia a los fines de desentrañar el sentido de las disposiciones de una norma fundamental. Debe destacarse, además, que la interpretación sistemática y coherente ha cobrado mayor relevancia aún en el Derecho Constitucional Argentino luego de la Reforma Constitucional de 1994. En efecto, en dicha Reforma se le otorgó jerarquía constitucional a un conjunto de Instrumentos Internacionales sobre derechos humanos (artículo 75 inciso 22 CN), y ello obliga a los intérpretes y operadores constitucionales a realizar una hermenéutica sistemática de los derechos reconocidos a los habitantes tanto en la Constitución Nacional como en los mencionados Instrumentos Internacionales. </w:t>
      </w:r>
    </w:p>
    <w:p w14:paraId="090454AF"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Por consiguiente, entiendo que cuando los tribunales de justicia en el desarrollo de sus considerandos relacionan entre sí diversos artículos o partes de la Constitución nos encontramos ante el método de interpretación sistemático. Este método es también es denominado algunas veces por parte de la doctrina como armónico. </w:t>
      </w:r>
    </w:p>
    <w:p w14:paraId="06316417" w14:textId="77777777" w:rsidR="00186518" w:rsidRPr="00186518" w:rsidRDefault="00186518" w:rsidP="00AE689A">
      <w:pPr>
        <w:spacing w:after="0" w:line="360" w:lineRule="auto"/>
        <w:rPr>
          <w:rFonts w:ascii="Verdana" w:eastAsia="Times New Roman" w:hAnsi="Verdana" w:cs="Arial"/>
          <w:sz w:val="24"/>
          <w:szCs w:val="24"/>
          <w:lang w:val="es-ES" w:eastAsia="es-ES"/>
        </w:rPr>
      </w:pPr>
    </w:p>
    <w:p w14:paraId="2FD987C5" w14:textId="11BAC812" w:rsidR="00186518" w:rsidRDefault="00186518" w:rsidP="00AE689A">
      <w:pPr>
        <w:spacing w:after="0" w:line="360" w:lineRule="auto"/>
        <w:rPr>
          <w:rFonts w:ascii="Verdana" w:eastAsia="Times New Roman" w:hAnsi="Verdana" w:cs="Arial"/>
          <w:b/>
          <w:bCs/>
          <w:sz w:val="24"/>
          <w:szCs w:val="24"/>
          <w:lang w:val="es-ES" w:eastAsia="es-ES"/>
        </w:rPr>
      </w:pPr>
      <w:r w:rsidRPr="00052021">
        <w:rPr>
          <w:rFonts w:ascii="Verdana" w:eastAsia="Times New Roman" w:hAnsi="Verdana" w:cs="Arial"/>
          <w:b/>
          <w:bCs/>
          <w:sz w:val="24"/>
          <w:szCs w:val="24"/>
          <w:lang w:val="es-ES" w:eastAsia="es-ES"/>
        </w:rPr>
        <w:t xml:space="preserve">El </w:t>
      </w:r>
      <w:r w:rsidR="00491F27" w:rsidRPr="00052021">
        <w:rPr>
          <w:rFonts w:ascii="Verdana" w:eastAsia="Times New Roman" w:hAnsi="Verdana" w:cs="Arial"/>
          <w:b/>
          <w:bCs/>
          <w:sz w:val="24"/>
          <w:szCs w:val="24"/>
          <w:lang w:val="es-ES" w:eastAsia="es-ES"/>
        </w:rPr>
        <w:t xml:space="preserve">criterio o </w:t>
      </w:r>
      <w:r w:rsidRPr="00052021">
        <w:rPr>
          <w:rFonts w:ascii="Verdana" w:eastAsia="Times New Roman" w:hAnsi="Verdana" w:cs="Arial"/>
          <w:b/>
          <w:bCs/>
          <w:sz w:val="24"/>
          <w:szCs w:val="24"/>
          <w:lang w:val="es-ES" w:eastAsia="es-ES"/>
        </w:rPr>
        <w:t>método finalista o teleológico</w:t>
      </w:r>
    </w:p>
    <w:p w14:paraId="459A0240" w14:textId="77777777" w:rsidR="00955239" w:rsidRPr="00052021" w:rsidRDefault="00955239" w:rsidP="00AE689A">
      <w:pPr>
        <w:spacing w:after="0" w:line="360" w:lineRule="auto"/>
        <w:rPr>
          <w:rFonts w:ascii="Verdana" w:eastAsia="Times New Roman" w:hAnsi="Verdana" w:cs="Arial"/>
          <w:b/>
          <w:bCs/>
          <w:sz w:val="24"/>
          <w:szCs w:val="24"/>
          <w:lang w:val="es-ES" w:eastAsia="es-ES"/>
        </w:rPr>
      </w:pPr>
    </w:p>
    <w:p w14:paraId="473A59FF" w14:textId="4055356E"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Este enfoque interpretativo es muy importante para la interpretación constitucional. El objetivo es que el intérprete tenga siempre presente los propósitos fundamentales de la norma constitucional al fundamentar </w:t>
      </w:r>
      <w:r w:rsidRPr="00186518">
        <w:rPr>
          <w:rFonts w:ascii="Verdana" w:eastAsia="Times New Roman" w:hAnsi="Verdana" w:cs="Arial"/>
          <w:sz w:val="24"/>
          <w:szCs w:val="24"/>
          <w:lang w:val="es-ES" w:eastAsia="es-ES"/>
        </w:rPr>
        <w:lastRenderedPageBreak/>
        <w:t>una decisión. En tal sentido expresa Linares Quintana que el fin último y supremo de todas y cada una de las normas de la Constitución es el de proteger la libertad y la dignidad del hombre, la justicia y el bienestar general. Por consecuencia, la interpretación de la Ley Fundamental de la República debe orientarse hacia aquella meta suprema que inspira e ilumina a todas y a cada una de sus cláusulas.</w:t>
      </w:r>
      <w:r w:rsidRPr="00186518">
        <w:rPr>
          <w:rFonts w:ascii="Verdana" w:eastAsia="Times New Roman" w:hAnsi="Verdana" w:cs="Arial"/>
          <w:sz w:val="24"/>
          <w:szCs w:val="24"/>
          <w:vertAlign w:val="superscript"/>
          <w:lang w:val="es-ES" w:eastAsia="es-ES"/>
        </w:rPr>
        <w:footnoteReference w:id="66"/>
      </w:r>
    </w:p>
    <w:p w14:paraId="249B65C7" w14:textId="7E144B1B"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Señala asimismo este autor que para el constitucionalista Karl Loewenstein, por ejemplo, la finalidad o el telos de la Constitución radica en la creación de instituciones para limitar y controlar el poder político, en primer lugar, y en asignar a los destinatarios del poder una legítima participación en el proceso del poder. Este principio debería obrar como guía para el juzgador en el momento de resolver un caso.</w:t>
      </w:r>
    </w:p>
    <w:p w14:paraId="789C4A79" w14:textId="6B925473"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En este sentido, el juez de la Corte Suprema Dr. Carlos Fayt, en su voto disidente en la causa “La Pampa c/ Mendoza”, del año 1987 (Fallos: 310:2478) señaló que: “La Constitución Nacional proporciona, a tal efecto, algunas guías que, por generales, no son menos seguras, como son las que surgen de su Preámbulo, en especial, para el caso, el constituir la unión nacional, asegurar la paz interior y promover el bienestar general. </w:t>
      </w:r>
    </w:p>
    <w:p w14:paraId="1EE1F33A"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A esta guía normativa deberán los magistrados agregar el uso de la razón, el conocimiento de la realidad, la comprensión del pasado y la proyección de las consecuencias futuras, quedando en claro, asimismo, que los fines de la Constitución deben primar sobre las soluciones que sólo descansan en fundamentos de índole técnico-jurídica.”</w:t>
      </w:r>
      <w:r w:rsidRPr="00186518">
        <w:rPr>
          <w:rFonts w:ascii="Verdana" w:eastAsia="Times New Roman" w:hAnsi="Verdana" w:cs="Arial"/>
          <w:sz w:val="24"/>
          <w:szCs w:val="24"/>
          <w:vertAlign w:val="superscript"/>
          <w:lang w:val="es-ES" w:eastAsia="es-ES"/>
        </w:rPr>
        <w:footnoteReference w:id="67"/>
      </w:r>
      <w:r w:rsidRPr="00186518">
        <w:rPr>
          <w:rFonts w:ascii="Verdana" w:eastAsia="Times New Roman" w:hAnsi="Verdana" w:cs="Arial"/>
          <w:sz w:val="24"/>
          <w:szCs w:val="24"/>
          <w:lang w:val="es-ES" w:eastAsia="es-ES"/>
        </w:rPr>
        <w:t xml:space="preserve"> </w:t>
      </w:r>
    </w:p>
    <w:p w14:paraId="5D3CC7DE" w14:textId="1EB68270"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Otra definición de interés sobre el tema la brinda Rafael Bielsa, quien señala que la Constitución tiene un fin o fines. Y por ello, la apreciación de esos fines implica la opción por un método teleológico y no por uno </w:t>
      </w:r>
      <w:r w:rsidRPr="00186518">
        <w:rPr>
          <w:rFonts w:ascii="Verdana" w:eastAsia="Times New Roman" w:hAnsi="Verdana" w:cs="Arial"/>
          <w:sz w:val="24"/>
          <w:szCs w:val="24"/>
          <w:lang w:val="es-ES" w:eastAsia="es-ES"/>
        </w:rPr>
        <w:lastRenderedPageBreak/>
        <w:t>positivo lógico formal. Ello es así porque, cuando un juez juzga, no se limita a realizar un ejercicio de lógica formal, como sería el de establecer si hay conformidad lógica de la norma legal cuestionada con la norma constitucional o anterior. El juez examina la cuestión a la luz del valor de la norma o del principio constitucional en juego. Esta apreciación intelectual por la cual el administrador o juez deciden mirando al fin de la norma, constituye el empleo del método teleológico.</w:t>
      </w:r>
      <w:r w:rsidRPr="00186518">
        <w:rPr>
          <w:rFonts w:ascii="Verdana" w:eastAsia="Times New Roman" w:hAnsi="Verdana" w:cs="Arial"/>
          <w:sz w:val="24"/>
          <w:szCs w:val="24"/>
          <w:vertAlign w:val="superscript"/>
          <w:lang w:val="es-ES" w:eastAsia="es-ES"/>
        </w:rPr>
        <w:footnoteReference w:id="68"/>
      </w:r>
      <w:r w:rsidRPr="00186518">
        <w:rPr>
          <w:rFonts w:ascii="Verdana" w:eastAsia="Times New Roman" w:hAnsi="Verdana" w:cs="Arial"/>
          <w:sz w:val="24"/>
          <w:szCs w:val="24"/>
          <w:lang w:val="es-ES" w:eastAsia="es-ES"/>
        </w:rPr>
        <w:t xml:space="preserve"> </w:t>
      </w:r>
    </w:p>
    <w:p w14:paraId="7FCC7AA4"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Debe resaltarse entonces, que lo que distingue a este enfoque o método interpretativo es la directiva hermenéutica de buscar el fin o la finalidad de la norma. Ello no se relaciona con los antecedentes o el marco histórico de su sanción, sino que tiene que ver en realidad con una operación más relacionada con la lógica y la prudencia jurídica. </w:t>
      </w:r>
    </w:p>
    <w:p w14:paraId="6289F477"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La importancia de concebir a todo el ordenamiento jurídico como ordenado o dirigido a un fin, e implícitamente la entronización del método interpretativo finalista, es destacado por el jurista estadounidense Oliver Wendell Holmes quien estima que un cuerpo de derecho es más racional cuando cada una de sus reglas está enderezada hacia un fin, y cuando el fundamento de ese fin es expresado o puede ser expresado en palabras.</w:t>
      </w:r>
      <w:r w:rsidRPr="00186518">
        <w:rPr>
          <w:rFonts w:ascii="Verdana" w:eastAsia="Times New Roman" w:hAnsi="Verdana" w:cs="Arial"/>
          <w:sz w:val="24"/>
          <w:szCs w:val="24"/>
          <w:vertAlign w:val="superscript"/>
          <w:lang w:val="es-ES" w:eastAsia="es-ES"/>
        </w:rPr>
        <w:footnoteReference w:id="69"/>
      </w:r>
    </w:p>
    <w:p w14:paraId="6174620E" w14:textId="67BEB38A"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Estimamos que este </w:t>
      </w:r>
      <w:r w:rsidR="00B261ED">
        <w:rPr>
          <w:rFonts w:ascii="Verdana" w:eastAsia="Times New Roman" w:hAnsi="Verdana" w:cs="Arial"/>
          <w:sz w:val="24"/>
          <w:szCs w:val="24"/>
          <w:lang w:val="es-ES" w:eastAsia="es-ES"/>
        </w:rPr>
        <w:t>criterio</w:t>
      </w:r>
      <w:r w:rsidRPr="00186518">
        <w:rPr>
          <w:rFonts w:ascii="Verdana" w:eastAsia="Times New Roman" w:hAnsi="Verdana" w:cs="Arial"/>
          <w:sz w:val="24"/>
          <w:szCs w:val="24"/>
          <w:lang w:val="es-ES" w:eastAsia="es-ES"/>
        </w:rPr>
        <w:t xml:space="preserve"> es fundamental para la interpretación de la norma constitucional, y en tal sentido ha sido utilizado numerosas veces por los Tribunales, en especial por la Corte Suprema de Justicia de la Nación. Desentrañando los fines de la Constitución los jueces resolverán las causas que se les sometan cumpliendo con el principio preambular que ordena “afianzar la justicia”. Una norma destinada a ser suprema en </w:t>
      </w:r>
      <w:r w:rsidRPr="00186518">
        <w:rPr>
          <w:rFonts w:ascii="Verdana" w:eastAsia="Times New Roman" w:hAnsi="Verdana" w:cs="Arial"/>
          <w:sz w:val="24"/>
          <w:szCs w:val="24"/>
          <w:lang w:val="es-ES" w:eastAsia="es-ES"/>
        </w:rPr>
        <w:lastRenderedPageBreak/>
        <w:t xml:space="preserve">el ordenamiento jurídico y a perdurar durante muchas generaciones debe ser primordialmente interpretada conforme a sus fines. </w:t>
      </w:r>
    </w:p>
    <w:p w14:paraId="48E29158" w14:textId="77777777" w:rsidR="00186518" w:rsidRPr="00186518" w:rsidRDefault="00186518" w:rsidP="00AE689A">
      <w:pPr>
        <w:spacing w:after="0" w:line="360" w:lineRule="auto"/>
        <w:rPr>
          <w:rFonts w:ascii="Verdana" w:eastAsia="Times New Roman" w:hAnsi="Verdana" w:cs="Arial"/>
          <w:sz w:val="24"/>
          <w:szCs w:val="24"/>
          <w:lang w:val="es-ES" w:eastAsia="es-ES"/>
        </w:rPr>
      </w:pPr>
    </w:p>
    <w:p w14:paraId="36EECA24" w14:textId="660AE534" w:rsidR="00186518" w:rsidRDefault="00186518" w:rsidP="00AE689A">
      <w:pPr>
        <w:spacing w:after="0" w:line="360" w:lineRule="auto"/>
        <w:rPr>
          <w:rFonts w:ascii="Verdana" w:eastAsia="Times New Roman" w:hAnsi="Verdana" w:cs="Arial"/>
          <w:b/>
          <w:bCs/>
          <w:sz w:val="24"/>
          <w:szCs w:val="24"/>
          <w:lang w:val="es-ES" w:eastAsia="es-ES"/>
        </w:rPr>
      </w:pPr>
      <w:r w:rsidRPr="00DE670C">
        <w:rPr>
          <w:rFonts w:ascii="Verdana" w:eastAsia="Times New Roman" w:hAnsi="Verdana" w:cs="Arial"/>
          <w:b/>
          <w:bCs/>
          <w:sz w:val="24"/>
          <w:szCs w:val="24"/>
          <w:lang w:val="es-ES" w:eastAsia="es-ES"/>
        </w:rPr>
        <w:t xml:space="preserve">El </w:t>
      </w:r>
      <w:r w:rsidR="00B261ED" w:rsidRPr="00DE670C">
        <w:rPr>
          <w:rFonts w:ascii="Verdana" w:eastAsia="Times New Roman" w:hAnsi="Verdana" w:cs="Arial"/>
          <w:b/>
          <w:bCs/>
          <w:sz w:val="24"/>
          <w:szCs w:val="24"/>
          <w:lang w:val="es-ES" w:eastAsia="es-ES"/>
        </w:rPr>
        <w:t xml:space="preserve">criterio o </w:t>
      </w:r>
      <w:r w:rsidRPr="00DE670C">
        <w:rPr>
          <w:rFonts w:ascii="Verdana" w:eastAsia="Times New Roman" w:hAnsi="Verdana" w:cs="Arial"/>
          <w:b/>
          <w:bCs/>
          <w:sz w:val="24"/>
          <w:szCs w:val="24"/>
          <w:lang w:val="es-ES" w:eastAsia="es-ES"/>
        </w:rPr>
        <w:t xml:space="preserve">método estático. El </w:t>
      </w:r>
      <w:r w:rsidR="00B261ED" w:rsidRPr="00DE670C">
        <w:rPr>
          <w:rFonts w:ascii="Verdana" w:eastAsia="Times New Roman" w:hAnsi="Verdana" w:cs="Arial"/>
          <w:b/>
          <w:bCs/>
          <w:sz w:val="24"/>
          <w:szCs w:val="24"/>
          <w:lang w:val="es-ES" w:eastAsia="es-ES"/>
        </w:rPr>
        <w:t>criterio</w:t>
      </w:r>
      <w:r w:rsidRPr="00DE670C">
        <w:rPr>
          <w:rFonts w:ascii="Verdana" w:eastAsia="Times New Roman" w:hAnsi="Verdana" w:cs="Arial"/>
          <w:b/>
          <w:bCs/>
          <w:sz w:val="24"/>
          <w:szCs w:val="24"/>
          <w:lang w:val="es-ES" w:eastAsia="es-ES"/>
        </w:rPr>
        <w:t xml:space="preserve"> histórico. El originalismo</w:t>
      </w:r>
    </w:p>
    <w:p w14:paraId="4B07F892" w14:textId="77777777" w:rsidR="00BF10B7" w:rsidRPr="00DE670C" w:rsidRDefault="00BF10B7" w:rsidP="00AE689A">
      <w:pPr>
        <w:spacing w:after="0" w:line="360" w:lineRule="auto"/>
        <w:rPr>
          <w:rFonts w:ascii="Verdana" w:eastAsia="Times New Roman" w:hAnsi="Verdana" w:cs="Arial"/>
          <w:b/>
          <w:bCs/>
          <w:sz w:val="24"/>
          <w:szCs w:val="24"/>
          <w:lang w:val="es-ES" w:eastAsia="es-ES"/>
        </w:rPr>
      </w:pPr>
    </w:p>
    <w:p w14:paraId="01CD9382" w14:textId="0ABC8ABF"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Zuleta Puceiro remarca, al igual que, por ejemplo</w:t>
      </w:r>
      <w:r w:rsidR="00B261ED">
        <w:rPr>
          <w:rFonts w:ascii="Verdana" w:eastAsia="Times New Roman" w:hAnsi="Verdana" w:cs="Arial"/>
          <w:sz w:val="24"/>
          <w:szCs w:val="24"/>
          <w:lang w:val="es-ES" w:eastAsia="es-ES"/>
        </w:rPr>
        <w:t>,</w:t>
      </w:r>
      <w:r w:rsidRPr="00186518">
        <w:rPr>
          <w:rFonts w:ascii="Verdana" w:eastAsia="Times New Roman" w:hAnsi="Verdana" w:cs="Arial"/>
          <w:sz w:val="24"/>
          <w:szCs w:val="24"/>
          <w:lang w:val="es-ES" w:eastAsia="es-ES"/>
        </w:rPr>
        <w:t xml:space="preserve"> Linares Quintana, el sentido histórico de la hermenéutica de la constitución. Pero le añade un elemento de sumo interés: la proyección hacia el porvenir. En efecto, la cuestión temporal parece ser central, junto con la idea de sistematicidad o unidad, en esta materia. </w:t>
      </w:r>
    </w:p>
    <w:p w14:paraId="46A0A031" w14:textId="779F18A8"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Y acerca del problema hermenéutico en relación con lo temporal, encontramos en el ámbito del derecho constitucional dos respuestas totalmente disímiles: las interpretaciones dinámica y estática de la constitución, denominadas por la doctrina y jurisprudencia norteamericana como interpretación originalista e interpretación constructivista respectivamente.</w:t>
      </w:r>
    </w:p>
    <w:p w14:paraId="1B2E59F6" w14:textId="711A80DB"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La primera de ellas, la interpretación originalista, muchas veces denominada </w:t>
      </w:r>
      <w:r w:rsidR="00B261ED">
        <w:rPr>
          <w:rFonts w:ascii="Verdana" w:eastAsia="Times New Roman" w:hAnsi="Verdana" w:cs="Arial"/>
          <w:sz w:val="24"/>
          <w:szCs w:val="24"/>
          <w:lang w:val="es-ES" w:eastAsia="es-ES"/>
        </w:rPr>
        <w:t>enfoque o criterio</w:t>
      </w:r>
      <w:r w:rsidRPr="00186518">
        <w:rPr>
          <w:rFonts w:ascii="Verdana" w:eastAsia="Times New Roman" w:hAnsi="Verdana" w:cs="Arial"/>
          <w:sz w:val="24"/>
          <w:szCs w:val="24"/>
          <w:lang w:val="es-ES" w:eastAsia="es-ES"/>
        </w:rPr>
        <w:t xml:space="preserve"> estático, es un intento de evitar la influencia de los jueces en tanto operadores del derecho. La norma constitucional tiene un significado que fue establecido originariamente, en el momento de su sanción, y el mismo debe permanecer inalterable, a los efectos de garantizar la vigencia de la Constitución y la seguridad jurídica. </w:t>
      </w:r>
    </w:p>
    <w:p w14:paraId="5C3DFAE5"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En efecto, a través de la labor hermenéutica, los magistrados judiciales podrían, en cada caso concreto, modificar la intención del legislador plasmada en un texto, y eso conspira tanto contra la seguridad jurídica como contra la voluntad democrática expresada por el constituyente originario. El tema tiene también indudable relación con la interpretación histórica, vale decir la que bucea en la intención del legislador (en nuestro caso el constituyente). </w:t>
      </w:r>
    </w:p>
    <w:p w14:paraId="50CF1CCD"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lastRenderedPageBreak/>
        <w:t>Para Roberto Gargarella este criterio hermenéutico implica una manera de “anclar” la interpretación constitucional, impidiendo al intérprete poner en lugar del texto de la Constitución sus propias opiniones.</w:t>
      </w:r>
      <w:r w:rsidRPr="00186518">
        <w:rPr>
          <w:rFonts w:ascii="Verdana" w:eastAsia="Times New Roman" w:hAnsi="Verdana" w:cs="Arial"/>
          <w:sz w:val="24"/>
          <w:szCs w:val="24"/>
          <w:vertAlign w:val="superscript"/>
          <w:lang w:val="es-ES" w:eastAsia="es-ES"/>
        </w:rPr>
        <w:footnoteReference w:id="70"/>
      </w:r>
      <w:r w:rsidRPr="00186518">
        <w:rPr>
          <w:rFonts w:ascii="Verdana" w:eastAsia="Times New Roman" w:hAnsi="Verdana" w:cs="Arial"/>
          <w:sz w:val="24"/>
          <w:szCs w:val="24"/>
          <w:lang w:val="es-ES" w:eastAsia="es-ES"/>
        </w:rPr>
        <w:t xml:space="preserve"> En favor del originalismo, Gargarella encuentra dos argumentos. Para el primero, esta modalidad hermenéutica se encuentra ligada al pensamiento de los fundadores del constitucionalismo, en especial los norteamericanos, como James Madison o Alexander Hamilton. Y para el segundo argumento, el originalismo garantiza la seguridad jurídica al constreñir la actividad del intérprete a desentrañar la intención del constituyente originario. </w:t>
      </w:r>
    </w:p>
    <w:p w14:paraId="3490B6BF"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Señala en este sentido el autor que el originalismo viene de alguna manera a “bloquear” los intentos “aventureros” de los intérpretes constitucionales. El sentido de la Constitución, conforme este método, no se renueva a cada momento, sino que ya está históricamente fijado. Para interpretar la Constitución no hay que observar hacia adelante, sino hacia el pasado, hacia lo que ya está escrito.</w:t>
      </w:r>
      <w:r w:rsidRPr="00186518">
        <w:rPr>
          <w:rFonts w:ascii="Verdana" w:eastAsia="Times New Roman" w:hAnsi="Verdana" w:cs="Arial"/>
          <w:sz w:val="24"/>
          <w:szCs w:val="24"/>
          <w:vertAlign w:val="superscript"/>
          <w:lang w:val="es-ES" w:eastAsia="es-ES"/>
        </w:rPr>
        <w:footnoteReference w:id="71"/>
      </w:r>
    </w:p>
    <w:p w14:paraId="2EBF81CC" w14:textId="4523EE61"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Frente a la crítica de que el originalismo termina estancando la interpretación constitucional (pienso que de allí viene lo de interpretación estática), sus partidarios responden rápidamente alegando que ellos no impiden con la consagración de este </w:t>
      </w:r>
      <w:r w:rsidR="00AC45EE">
        <w:rPr>
          <w:rFonts w:ascii="Verdana" w:eastAsia="Times New Roman" w:hAnsi="Verdana" w:cs="Arial"/>
          <w:sz w:val="24"/>
          <w:szCs w:val="24"/>
          <w:lang w:val="es-ES" w:eastAsia="es-ES"/>
        </w:rPr>
        <w:t>enfoque</w:t>
      </w:r>
      <w:r w:rsidRPr="00186518">
        <w:rPr>
          <w:rFonts w:ascii="Verdana" w:eastAsia="Times New Roman" w:hAnsi="Verdana" w:cs="Arial"/>
          <w:sz w:val="24"/>
          <w:szCs w:val="24"/>
          <w:lang w:val="es-ES" w:eastAsia="es-ES"/>
        </w:rPr>
        <w:t xml:space="preserve"> cambio alguno en el texto constitucional, que puede realizarse a través de los mecanismos establecidos en el texto constitucional (procedimiento de reforma de la Constitución). </w:t>
      </w:r>
    </w:p>
    <w:p w14:paraId="03E342BC"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Los que no deberían realizar cambios por vía interpretativa son los jueces. El método aludido se convertiría entonces en el que mejor garantiza no sólo ya la seguridad jurídica, sino también la voluntad </w:t>
      </w:r>
      <w:r w:rsidRPr="00186518">
        <w:rPr>
          <w:rFonts w:ascii="Verdana" w:eastAsia="Times New Roman" w:hAnsi="Verdana" w:cs="Arial"/>
          <w:sz w:val="24"/>
          <w:szCs w:val="24"/>
          <w:lang w:val="es-ES" w:eastAsia="es-ES"/>
        </w:rPr>
        <w:lastRenderedPageBreak/>
        <w:t>democrática del conjunto de la ciudadanía. Para Gargarella resulta curioso que, más allá de este fundamento “archidemocrático”, sean los jueces más conservadores en Estados Unidos los que sostengan el originalismo como criterio interpretativo.</w:t>
      </w:r>
      <w:r w:rsidRPr="00186518">
        <w:rPr>
          <w:rFonts w:ascii="Verdana" w:eastAsia="Times New Roman" w:hAnsi="Verdana" w:cs="Arial"/>
          <w:sz w:val="24"/>
          <w:szCs w:val="24"/>
          <w:vertAlign w:val="superscript"/>
          <w:lang w:val="es-ES" w:eastAsia="es-ES"/>
        </w:rPr>
        <w:footnoteReference w:id="72"/>
      </w:r>
      <w:r w:rsidRPr="00186518">
        <w:rPr>
          <w:rFonts w:ascii="Verdana" w:eastAsia="Times New Roman" w:hAnsi="Verdana" w:cs="Arial"/>
          <w:sz w:val="24"/>
          <w:szCs w:val="24"/>
          <w:lang w:val="es-ES" w:eastAsia="es-ES"/>
        </w:rPr>
        <w:t xml:space="preserve"> </w:t>
      </w:r>
    </w:p>
    <w:p w14:paraId="4083CEAF" w14:textId="4770382B"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Más allá de lo dicho, el autor realiza críticas concretas sobre este </w:t>
      </w:r>
      <w:r w:rsidR="00AC45EE">
        <w:rPr>
          <w:rFonts w:ascii="Verdana" w:eastAsia="Times New Roman" w:hAnsi="Verdana" w:cs="Arial"/>
          <w:sz w:val="24"/>
          <w:szCs w:val="24"/>
          <w:lang w:val="es-ES" w:eastAsia="es-ES"/>
        </w:rPr>
        <w:t>criterio</w:t>
      </w:r>
      <w:r w:rsidRPr="00186518">
        <w:rPr>
          <w:rFonts w:ascii="Verdana" w:eastAsia="Times New Roman" w:hAnsi="Verdana" w:cs="Arial"/>
          <w:sz w:val="24"/>
          <w:szCs w:val="24"/>
          <w:lang w:val="es-ES" w:eastAsia="es-ES"/>
        </w:rPr>
        <w:t xml:space="preserve"> hermenéutico. En primer término, indica que apegarnos a la voluntad del legislador o constituyente histórico no puede eximir al juez de tomar decisiones concretas de moralidad pública en los casos concretos. En este orden de ideas señala </w:t>
      </w:r>
      <w:r w:rsidR="00761D58">
        <w:rPr>
          <w:rFonts w:ascii="Verdana" w:eastAsia="Times New Roman" w:hAnsi="Verdana" w:cs="Arial"/>
          <w:sz w:val="24"/>
          <w:szCs w:val="24"/>
          <w:lang w:val="es-ES" w:eastAsia="es-ES"/>
        </w:rPr>
        <w:t xml:space="preserve">que </w:t>
      </w:r>
      <w:r w:rsidRPr="00186518">
        <w:rPr>
          <w:rFonts w:ascii="Verdana" w:eastAsia="Times New Roman" w:hAnsi="Verdana" w:cs="Arial"/>
          <w:sz w:val="24"/>
          <w:szCs w:val="24"/>
          <w:lang w:val="es-ES" w:eastAsia="es-ES"/>
        </w:rPr>
        <w:t>no le</w:t>
      </w:r>
      <w:r w:rsidR="006F4C99">
        <w:rPr>
          <w:rFonts w:ascii="Verdana" w:eastAsia="Times New Roman" w:hAnsi="Verdana" w:cs="Arial"/>
          <w:sz w:val="24"/>
          <w:szCs w:val="24"/>
          <w:lang w:val="es-ES" w:eastAsia="es-ES"/>
        </w:rPr>
        <w:t>s</w:t>
      </w:r>
      <w:r w:rsidRPr="00186518">
        <w:rPr>
          <w:rFonts w:ascii="Verdana" w:eastAsia="Times New Roman" w:hAnsi="Verdana" w:cs="Arial"/>
          <w:sz w:val="24"/>
          <w:szCs w:val="24"/>
          <w:lang w:val="es-ES" w:eastAsia="es-ES"/>
        </w:rPr>
        <w:t xml:space="preserve"> basta a los jueces con tomar lecciones de lenguaje o consultar un diccionario para tomar las decisiones más importantes en materia de interpretación constitucional. Y que, conforme los temas que se encuentran involucrados, el intérprete muchas veces Adviértase que conforme a que se trata de interpretar las Constitución, los jueces se encuentran obligados a adoptar cruciales y muy difíciles decisiones, optando entre muchas alternativas posibles.</w:t>
      </w:r>
      <w:r w:rsidRPr="00186518">
        <w:rPr>
          <w:rFonts w:ascii="Verdana" w:eastAsia="Times New Roman" w:hAnsi="Verdana" w:cs="Arial"/>
          <w:sz w:val="24"/>
          <w:szCs w:val="24"/>
          <w:vertAlign w:val="superscript"/>
          <w:lang w:val="es-ES" w:eastAsia="es-ES"/>
        </w:rPr>
        <w:footnoteReference w:id="73"/>
      </w:r>
      <w:r w:rsidRPr="00186518">
        <w:rPr>
          <w:rFonts w:ascii="Verdana" w:eastAsia="Times New Roman" w:hAnsi="Verdana" w:cs="Arial"/>
          <w:sz w:val="24"/>
          <w:szCs w:val="24"/>
          <w:lang w:val="es-ES" w:eastAsia="es-ES"/>
        </w:rPr>
        <w:t xml:space="preserve"> Amén de lo dicho hay que tener también en cuenta que muchas veces difiere el  pensamiento de los mismos constituyentes originarios acerca del alcance de las disposiciones constitucionales, lo que agrega un problema adicional a la cuestión. Y además surgiría otra cuestión central: ¿A qué textos u obras de los constituyentes originarios debemos circunscribir la hermenéutica originalista? </w:t>
      </w:r>
    </w:p>
    <w:p w14:paraId="370A73C2" w14:textId="77777777" w:rsidR="00725B7E"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Ello lleva a concluir a Gargarella que el originalismo no nos asegura una de las promesas más importantes que ofrecía, que era la de la “certeza interpretativa”. Y que recurre, por un lado, al método hermenéutico para </w:t>
      </w:r>
      <w:r w:rsidRPr="00186518">
        <w:rPr>
          <w:rFonts w:ascii="Verdana" w:eastAsia="Times New Roman" w:hAnsi="Verdana" w:cs="Arial"/>
          <w:sz w:val="24"/>
          <w:szCs w:val="24"/>
          <w:lang w:val="es-ES" w:eastAsia="es-ES"/>
        </w:rPr>
        <w:lastRenderedPageBreak/>
        <w:t>examinar la historia evitando arbitrariedades, pero, por otro lado, lo abandona muchas veces a fin de seleccionar las opiniones constitucionales que va a tomar en cuenta. En esa labor, se ve obligado a reconstruir el pasado, y hacerlo creativamente.</w:t>
      </w:r>
      <w:r w:rsidRPr="00186518">
        <w:rPr>
          <w:rFonts w:ascii="Verdana" w:eastAsia="Times New Roman" w:hAnsi="Verdana" w:cs="Arial"/>
          <w:sz w:val="24"/>
          <w:szCs w:val="24"/>
          <w:vertAlign w:val="superscript"/>
          <w:lang w:val="es-ES" w:eastAsia="es-ES"/>
        </w:rPr>
        <w:footnoteReference w:id="74"/>
      </w:r>
      <w:r w:rsidRPr="00186518">
        <w:rPr>
          <w:rFonts w:ascii="Verdana" w:eastAsia="Times New Roman" w:hAnsi="Verdana" w:cs="Arial"/>
          <w:sz w:val="24"/>
          <w:szCs w:val="24"/>
          <w:lang w:val="es-ES" w:eastAsia="es-ES"/>
        </w:rPr>
        <w:t xml:space="preserve"> </w:t>
      </w:r>
    </w:p>
    <w:p w14:paraId="6D267F84" w14:textId="18595B26"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De alguna manera, la posición de Alberdi resulta un buen ejemplo –doctrinaria, no judicial- de una defensa del originalismo o la interpretación estática. En efecto, en su “Sistema económico y rentístico”, el ilustre jurista manifestó lo siguiente: “Al legislador, al hombre de Estado, al publicista, al escritor, sólo toca estudiar los principios económicos adoptados por la Constitución, para tomarlos como guía obligatoria en todos los trabajos de legislación orgánica y reglamentaria. Ensayar nuevos sistemas, lanzarse en el terreno de las novedades, es desviarse de la Constitución en el punto en que debe ser mejor observada, falsear el sentido hermoso de sus disposiciones, y echar el país en el desorden y en el atraso, entorpeciendo los intereses materiales, que son los llamados a sacarlo de la posición oscura y subalterna en que se encuentra.”</w:t>
      </w:r>
      <w:r w:rsidRPr="00186518">
        <w:rPr>
          <w:rFonts w:ascii="Verdana" w:eastAsia="Times New Roman" w:hAnsi="Verdana" w:cs="Arial"/>
          <w:sz w:val="24"/>
          <w:szCs w:val="24"/>
          <w:vertAlign w:val="superscript"/>
          <w:lang w:val="es-ES" w:eastAsia="es-ES"/>
        </w:rPr>
        <w:footnoteReference w:id="75"/>
      </w:r>
    </w:p>
    <w:p w14:paraId="78F6CE74" w14:textId="412A1393"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Otros juristas no hablan del originalismo, pero sí del método de interpretación histórico, que pretende desentrañara la voluntad del legislador originario a través de la indagación en las fuentes históricas (documentos, debates, etc.). Entiendo que válidamente pueden verse relacionados ambos métodos. </w:t>
      </w:r>
    </w:p>
    <w:p w14:paraId="2F5B40BC" w14:textId="7AE7785F"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En tal sentido, y contrariamente a Gargarella, Linares Quintana resalta el valor y la importancia de este </w:t>
      </w:r>
      <w:r w:rsidR="00761D58">
        <w:rPr>
          <w:rFonts w:ascii="Verdana" w:eastAsia="Times New Roman" w:hAnsi="Verdana" w:cs="Arial"/>
          <w:sz w:val="24"/>
          <w:szCs w:val="24"/>
          <w:lang w:val="es-ES" w:eastAsia="es-ES"/>
        </w:rPr>
        <w:t>enfoque o regla</w:t>
      </w:r>
      <w:r w:rsidRPr="00186518">
        <w:rPr>
          <w:rFonts w:ascii="Verdana" w:eastAsia="Times New Roman" w:hAnsi="Verdana" w:cs="Arial"/>
          <w:sz w:val="24"/>
          <w:szCs w:val="24"/>
          <w:lang w:val="es-ES" w:eastAsia="es-ES"/>
        </w:rPr>
        <w:t xml:space="preserve"> interpretativ</w:t>
      </w:r>
      <w:r w:rsidR="00761D58">
        <w:rPr>
          <w:rFonts w:ascii="Verdana" w:eastAsia="Times New Roman" w:hAnsi="Verdana" w:cs="Arial"/>
          <w:sz w:val="24"/>
          <w:szCs w:val="24"/>
          <w:lang w:val="es-ES" w:eastAsia="es-ES"/>
        </w:rPr>
        <w:t>a</w:t>
      </w:r>
      <w:r w:rsidRPr="00186518">
        <w:rPr>
          <w:rFonts w:ascii="Verdana" w:eastAsia="Times New Roman" w:hAnsi="Verdana" w:cs="Arial"/>
          <w:sz w:val="24"/>
          <w:szCs w:val="24"/>
          <w:lang w:val="es-ES" w:eastAsia="es-ES"/>
        </w:rPr>
        <w:t xml:space="preserve">, llegando incluso a sostener que muchas veces llega a ser clave para desentrañar </w:t>
      </w:r>
      <w:r w:rsidRPr="00186518">
        <w:rPr>
          <w:rFonts w:ascii="Verdana" w:eastAsia="Times New Roman" w:hAnsi="Verdana" w:cs="Arial"/>
          <w:sz w:val="24"/>
          <w:szCs w:val="24"/>
          <w:lang w:val="es-ES" w:eastAsia="es-ES"/>
        </w:rPr>
        <w:lastRenderedPageBreak/>
        <w:t>correctamente el sentido y alcance de las normas y de los comportamientos constitucionales.</w:t>
      </w:r>
      <w:r w:rsidRPr="00186518">
        <w:rPr>
          <w:rFonts w:ascii="Verdana" w:eastAsia="Times New Roman" w:hAnsi="Verdana" w:cs="Arial"/>
          <w:sz w:val="24"/>
          <w:szCs w:val="24"/>
          <w:vertAlign w:val="superscript"/>
          <w:lang w:val="es-ES" w:eastAsia="es-ES"/>
        </w:rPr>
        <w:footnoteReference w:id="76"/>
      </w:r>
      <w:r w:rsidRPr="00186518">
        <w:rPr>
          <w:rFonts w:ascii="Verdana" w:eastAsia="Times New Roman" w:hAnsi="Verdana" w:cs="Arial"/>
          <w:sz w:val="24"/>
          <w:szCs w:val="24"/>
          <w:lang w:val="es-ES" w:eastAsia="es-ES"/>
        </w:rPr>
        <w:t xml:space="preserve"> </w:t>
      </w:r>
    </w:p>
    <w:p w14:paraId="5ACF4B3B"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Para este constitucionalista el análisis lógico de la historia de la norma constitucional es indispensable en el momento de impartir justicia. Es más, califica –como muchos otros- a la interpretación histórica de la Constitución como “interpretación auténtica”. </w:t>
      </w:r>
    </w:p>
    <w:p w14:paraId="5D85F597" w14:textId="486A09A5"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Sería entonces erróneo, a su entender, una interpretación judicial de la norma constitucional que prescinda de la historia. Zuleta Puceiro señala por su parte que el método histórico de interpretación obra muchas veces como auxilio en el camino de desentrañar la intención del legislador.</w:t>
      </w:r>
      <w:r w:rsidRPr="00186518">
        <w:rPr>
          <w:rFonts w:ascii="Verdana" w:eastAsia="Times New Roman" w:hAnsi="Verdana" w:cs="Arial"/>
          <w:sz w:val="24"/>
          <w:szCs w:val="24"/>
          <w:vertAlign w:val="superscript"/>
          <w:lang w:val="es-ES" w:eastAsia="es-ES"/>
        </w:rPr>
        <w:footnoteReference w:id="77"/>
      </w:r>
      <w:r w:rsidRPr="00186518">
        <w:rPr>
          <w:rFonts w:ascii="Verdana" w:eastAsia="Times New Roman" w:hAnsi="Verdana" w:cs="Arial"/>
          <w:sz w:val="24"/>
          <w:szCs w:val="24"/>
          <w:lang w:val="es-ES" w:eastAsia="es-ES"/>
        </w:rPr>
        <w:t xml:space="preserve"> El </w:t>
      </w:r>
      <w:r w:rsidR="00D95477">
        <w:rPr>
          <w:rFonts w:ascii="Verdana" w:eastAsia="Times New Roman" w:hAnsi="Verdana" w:cs="Arial"/>
          <w:sz w:val="24"/>
          <w:szCs w:val="24"/>
          <w:lang w:val="es-ES" w:eastAsia="es-ES"/>
        </w:rPr>
        <w:t>criterio</w:t>
      </w:r>
      <w:r w:rsidRPr="00186518">
        <w:rPr>
          <w:rFonts w:ascii="Verdana" w:eastAsia="Times New Roman" w:hAnsi="Verdana" w:cs="Arial"/>
          <w:sz w:val="24"/>
          <w:szCs w:val="24"/>
          <w:lang w:val="es-ES" w:eastAsia="es-ES"/>
        </w:rPr>
        <w:t xml:space="preserve"> histórico para este jurista tiende a identificar en el texto interpretado el significado más acorde con la forma en que los diversos legisladores sucesivamente han aplicado la norma. Señala la diferencia con el denominado argumento psicológico, que busca principalmente desentrañar la voluntad de los redactores de una ley.</w:t>
      </w:r>
    </w:p>
    <w:p w14:paraId="772B95EB" w14:textId="65A64B8E"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Como todos los métodos hermenéuticos, tanto el </w:t>
      </w:r>
      <w:r w:rsidR="00D95477">
        <w:rPr>
          <w:rFonts w:ascii="Verdana" w:eastAsia="Times New Roman" w:hAnsi="Verdana" w:cs="Arial"/>
          <w:sz w:val="24"/>
          <w:szCs w:val="24"/>
          <w:lang w:val="es-ES" w:eastAsia="es-ES"/>
        </w:rPr>
        <w:t>enfoque</w:t>
      </w:r>
      <w:r w:rsidRPr="00186518">
        <w:rPr>
          <w:rFonts w:ascii="Verdana" w:eastAsia="Times New Roman" w:hAnsi="Verdana" w:cs="Arial"/>
          <w:sz w:val="24"/>
          <w:szCs w:val="24"/>
          <w:lang w:val="es-ES" w:eastAsia="es-ES"/>
        </w:rPr>
        <w:t xml:space="preserve"> originalista como el histórico han sido utilizados por nuestra Corte Suprema de Justicia de la Nación. En un importante leading case de principios del siglo XX, donde el Alto Tribunal invalidó una ley provincial impositiva sostuvo: “Que hay error en atribuir a las declaraciones y garantías contenidas en la Primera Parte, Capítulo Único, de la Constitución, el alcance de restricciones tan sólo a los poderes públicos nacionales, bajo la influencia de teorías y precedentes que no están en armonía con las fuentes inmediatas de la ley fundamental, con algunas disposiciones peculiares de ella, con las necesidades y anhelos de la época en que se dictó y con la inteligencia que se le ha dado en documentos históricos y numerosos fallos omitiendo, en efecto, otros, bastaría recordar a ese </w:t>
      </w:r>
      <w:r w:rsidRPr="00186518">
        <w:rPr>
          <w:rFonts w:ascii="Verdana" w:eastAsia="Times New Roman" w:hAnsi="Verdana" w:cs="Arial"/>
          <w:sz w:val="24"/>
          <w:szCs w:val="24"/>
          <w:lang w:val="es-ES" w:eastAsia="es-ES"/>
        </w:rPr>
        <w:lastRenderedPageBreak/>
        <w:t>respecto el informe de la comisión encargada de formular un proyecto de Constitución en la primera Convención Nacional de Santa Fe.” (Hileret c/ Provincia de Tucumán, CSJN, 5/9/1903, Fallos: 98:20)</w:t>
      </w:r>
      <w:r w:rsidRPr="00186518">
        <w:rPr>
          <w:rFonts w:ascii="Verdana" w:eastAsia="Times New Roman" w:hAnsi="Verdana" w:cs="Arial"/>
          <w:sz w:val="24"/>
          <w:szCs w:val="24"/>
          <w:vertAlign w:val="superscript"/>
          <w:lang w:val="es-ES" w:eastAsia="es-ES"/>
        </w:rPr>
        <w:footnoteReference w:id="78"/>
      </w:r>
      <w:r w:rsidRPr="00186518">
        <w:rPr>
          <w:rFonts w:ascii="Verdana" w:eastAsia="Times New Roman" w:hAnsi="Verdana" w:cs="Arial"/>
          <w:sz w:val="24"/>
          <w:szCs w:val="24"/>
          <w:lang w:val="es-ES" w:eastAsia="es-ES"/>
        </w:rPr>
        <w:t xml:space="preserve">. </w:t>
      </w:r>
    </w:p>
    <w:p w14:paraId="5E234012"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En otro de sus más trascendentes fallos, nuestro Máximo Tribunal indicó que: “…el mayor valor de la Constitución no está en los textos escritos que adoptó y que antes de ella habían adoptado los ensayos constitucionales que se sucedieron en el país durante cuarenta años, sin lograr realidad, sino en la obra práctica, realista, que significó encontrar la fórmula que armonizaba intereses, tradiciones, pasiones contradictorias y belicosas. Su interpretación auténtica no puede olvidar los antecedentes que hicieron de ella una creación viva, impregnada de realidad argentina, a fin de que dentro de su elasticidad y generalidad que le impide envejecer con el cambio de las ideas, crecimiento o redistribución de intereses, siga siendo el instrumento de ordenación política y moral de la Nación.” (Bressani, Carlos H. y otros c/ Provincia de Corrientes, CSJN, 2/6/1937, Fallos: 178:9). </w:t>
      </w:r>
    </w:p>
    <w:p w14:paraId="140B4F77" w14:textId="77777777" w:rsidR="00725B7E"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Y también la Corte muchas veces en su indagación histórica, evaluó antecedentes más remotos de las disposiciones constitucionales: “Que resulta necesario recordar, a los fines de la solución del caso, que un principio constitucional impone que las cárceles tengan como propósito fundamental la seguridad y no el castigo de los reos detenidos en ellas, proscribiendo toda medida “que a pretexto de precaución conduzca a mortificarlos más allá de lo que aquella exija” (art. 18, Constitución Nacional).</w:t>
      </w:r>
    </w:p>
    <w:p w14:paraId="70B55D0B" w14:textId="4CAC9635"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Otro crítico de la interpretación estática es Héctor Masnatta, quien fundamenta su pensamiento a partir de la misma jurisprudencia de la Corte Suprema de Justicia de la Nación. En este orden de ideas este jurista destaca que: “En 1963 el Tribunal expuso con claridad que la </w:t>
      </w:r>
      <w:r w:rsidRPr="00186518">
        <w:rPr>
          <w:rFonts w:ascii="Verdana" w:eastAsia="Times New Roman" w:hAnsi="Verdana" w:cs="Arial"/>
          <w:sz w:val="24"/>
          <w:szCs w:val="24"/>
          <w:lang w:val="es-ES" w:eastAsia="es-ES"/>
        </w:rPr>
        <w:lastRenderedPageBreak/>
        <w:t>exégesis estática no es adecuada, particularmente en el ámbito de la interpretación constitucional y de las leyes de su inmediata reglamentación”</w:t>
      </w:r>
      <w:r w:rsidRPr="00186518">
        <w:rPr>
          <w:rFonts w:ascii="Verdana" w:eastAsia="Times New Roman" w:hAnsi="Verdana" w:cs="Arial"/>
          <w:sz w:val="24"/>
          <w:szCs w:val="24"/>
          <w:vertAlign w:val="superscript"/>
          <w:lang w:val="es-ES" w:eastAsia="es-ES"/>
        </w:rPr>
        <w:footnoteReference w:id="79"/>
      </w:r>
      <w:r w:rsidRPr="00186518">
        <w:rPr>
          <w:rFonts w:ascii="Verdana" w:eastAsia="Times New Roman" w:hAnsi="Verdana" w:cs="Arial"/>
          <w:sz w:val="24"/>
          <w:szCs w:val="24"/>
          <w:lang w:val="es-ES" w:eastAsia="es-ES"/>
        </w:rPr>
        <w:t xml:space="preserve">. Y señala Masnatta que el Tribunal añadió: “Pues nadie ignora, después de Marshall, que se trata de normas destinadas a perdurar regulando la evolución de la vida nacional, a la que han de acompañar en la discreta y razonada interpretación de su creador. </w:t>
      </w:r>
    </w:p>
    <w:p w14:paraId="78BF5C2A"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Las consecuencias contrarias genéricas más evidentes de este tipo de interpretación jurídica importarían la paralización de la acción gubernativa y del progreso de la República, comprometiendo la satisfacción de las necesidades más ineludibles, incluso la defensa de la Nación”</w:t>
      </w:r>
      <w:r w:rsidRPr="00186518">
        <w:rPr>
          <w:rFonts w:ascii="Verdana" w:eastAsia="Times New Roman" w:hAnsi="Verdana" w:cs="Arial"/>
          <w:sz w:val="24"/>
          <w:szCs w:val="24"/>
          <w:vertAlign w:val="superscript"/>
          <w:lang w:val="es-ES" w:eastAsia="es-ES"/>
        </w:rPr>
        <w:footnoteReference w:id="80"/>
      </w:r>
      <w:r w:rsidRPr="00186518">
        <w:rPr>
          <w:rFonts w:ascii="Verdana" w:eastAsia="Times New Roman" w:hAnsi="Verdana" w:cs="Arial"/>
          <w:sz w:val="24"/>
          <w:szCs w:val="24"/>
          <w:lang w:val="es-ES" w:eastAsia="es-ES"/>
        </w:rPr>
        <w:t xml:space="preserve">. </w:t>
      </w:r>
    </w:p>
    <w:p w14:paraId="603FAA1F" w14:textId="10F4446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Finalmente podemos expresar que, más allá de sus bondades o desaciertos, el método</w:t>
      </w:r>
      <w:r w:rsidR="00D95477">
        <w:rPr>
          <w:rFonts w:ascii="Verdana" w:eastAsia="Times New Roman" w:hAnsi="Verdana" w:cs="Arial"/>
          <w:sz w:val="24"/>
          <w:szCs w:val="24"/>
          <w:lang w:val="es-ES" w:eastAsia="es-ES"/>
        </w:rPr>
        <w:t xml:space="preserve"> o enfoque</w:t>
      </w:r>
      <w:r w:rsidRPr="00186518">
        <w:rPr>
          <w:rFonts w:ascii="Verdana" w:eastAsia="Times New Roman" w:hAnsi="Verdana" w:cs="Arial"/>
          <w:sz w:val="24"/>
          <w:szCs w:val="24"/>
          <w:lang w:val="es-ES" w:eastAsia="es-ES"/>
        </w:rPr>
        <w:t xml:space="preserve"> reseñado ha sido utilizado para la interpretación de la norma constitucional en reiteradas oportunidades. </w:t>
      </w:r>
    </w:p>
    <w:p w14:paraId="056E52A3" w14:textId="77777777" w:rsidR="00186518" w:rsidRPr="00186518" w:rsidRDefault="00186518" w:rsidP="00AE689A">
      <w:pPr>
        <w:spacing w:after="0" w:line="360" w:lineRule="auto"/>
        <w:rPr>
          <w:rFonts w:ascii="Verdana" w:eastAsia="Times New Roman" w:hAnsi="Verdana" w:cs="Arial"/>
          <w:sz w:val="24"/>
          <w:szCs w:val="24"/>
          <w:lang w:val="es-ES" w:eastAsia="es-ES"/>
        </w:rPr>
      </w:pPr>
    </w:p>
    <w:p w14:paraId="7464F5DA" w14:textId="1B60C0DA" w:rsidR="00186518" w:rsidRDefault="00186518" w:rsidP="00AE689A">
      <w:pPr>
        <w:spacing w:after="0" w:line="360" w:lineRule="auto"/>
        <w:rPr>
          <w:rFonts w:ascii="Verdana" w:eastAsia="Times New Roman" w:hAnsi="Verdana" w:cs="Arial"/>
          <w:b/>
          <w:bCs/>
          <w:sz w:val="24"/>
          <w:szCs w:val="24"/>
          <w:lang w:val="es-ES" w:eastAsia="es-ES"/>
        </w:rPr>
      </w:pPr>
      <w:r w:rsidRPr="00683EBD">
        <w:rPr>
          <w:rFonts w:ascii="Verdana" w:eastAsia="Times New Roman" w:hAnsi="Verdana" w:cs="Arial"/>
          <w:b/>
          <w:bCs/>
          <w:sz w:val="24"/>
          <w:szCs w:val="24"/>
          <w:lang w:val="es-ES" w:eastAsia="es-ES"/>
        </w:rPr>
        <w:t xml:space="preserve">El </w:t>
      </w:r>
      <w:r w:rsidR="00D95477" w:rsidRPr="00683EBD">
        <w:rPr>
          <w:rFonts w:ascii="Verdana" w:eastAsia="Times New Roman" w:hAnsi="Verdana" w:cs="Arial"/>
          <w:b/>
          <w:bCs/>
          <w:sz w:val="24"/>
          <w:szCs w:val="24"/>
          <w:lang w:val="es-ES" w:eastAsia="es-ES"/>
        </w:rPr>
        <w:t xml:space="preserve">criterio o </w:t>
      </w:r>
      <w:r w:rsidRPr="00683EBD">
        <w:rPr>
          <w:rFonts w:ascii="Verdana" w:eastAsia="Times New Roman" w:hAnsi="Verdana" w:cs="Arial"/>
          <w:b/>
          <w:bCs/>
          <w:sz w:val="24"/>
          <w:szCs w:val="24"/>
          <w:lang w:val="es-ES" w:eastAsia="es-ES"/>
        </w:rPr>
        <w:t>método dinámico. El constructivismo</w:t>
      </w:r>
    </w:p>
    <w:p w14:paraId="69D32E67" w14:textId="77777777" w:rsidR="00683EBD" w:rsidRPr="00683EBD" w:rsidRDefault="00683EBD" w:rsidP="00AE689A">
      <w:pPr>
        <w:spacing w:after="0" w:line="360" w:lineRule="auto"/>
        <w:rPr>
          <w:rFonts w:ascii="Verdana" w:eastAsia="Times New Roman" w:hAnsi="Verdana" w:cs="Arial"/>
          <w:b/>
          <w:bCs/>
          <w:sz w:val="24"/>
          <w:szCs w:val="24"/>
          <w:lang w:val="es-ES" w:eastAsia="es-ES"/>
        </w:rPr>
      </w:pPr>
    </w:p>
    <w:p w14:paraId="6038A6B4" w14:textId="5D4B3B42"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Y si de interpretación y devenir histórico se trata, debemos oponer a los criterios hermenéuticos ya reseñados las variantes ligadas a la interpretación dinámica, llamada también por parte de la doctrina progresista o constructivista. Linares Quintana enseña que la Constitución, es un instrumento de gobierno permanente, ordenamiento jurídico y moral de la Nación, cuya flexibilidad y generalidad le permiten adaptarse a todos los tiempos y circunstancias, debe ser interpretada teniendo en cuenta, no sólo las condiciones y necesidades existentes en </w:t>
      </w:r>
      <w:r w:rsidRPr="00186518">
        <w:rPr>
          <w:rFonts w:ascii="Verdana" w:eastAsia="Times New Roman" w:hAnsi="Verdana" w:cs="Arial"/>
          <w:sz w:val="24"/>
          <w:szCs w:val="24"/>
          <w:lang w:val="es-ES" w:eastAsia="es-ES"/>
        </w:rPr>
        <w:lastRenderedPageBreak/>
        <w:t>el momento de su aprobación, sino también las condiciones sociales, económicas y políticas que existen al tiempo de su aplicación.</w:t>
      </w:r>
      <w:r w:rsidRPr="00186518">
        <w:rPr>
          <w:rFonts w:ascii="Verdana" w:eastAsia="Times New Roman" w:hAnsi="Verdana" w:cs="Arial"/>
          <w:sz w:val="24"/>
          <w:szCs w:val="24"/>
          <w:vertAlign w:val="superscript"/>
          <w:lang w:val="es-ES" w:eastAsia="es-ES"/>
        </w:rPr>
        <w:footnoteReference w:id="81"/>
      </w:r>
      <w:r w:rsidRPr="00186518">
        <w:rPr>
          <w:rFonts w:ascii="Verdana" w:eastAsia="Times New Roman" w:hAnsi="Verdana" w:cs="Arial"/>
          <w:sz w:val="24"/>
          <w:szCs w:val="24"/>
          <w:lang w:val="es-ES" w:eastAsia="es-ES"/>
        </w:rPr>
        <w:t xml:space="preserve"> </w:t>
      </w:r>
    </w:p>
    <w:p w14:paraId="1AD0A725" w14:textId="35695C7D"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Por consiguiente, este </w:t>
      </w:r>
      <w:r w:rsidR="0062242C">
        <w:rPr>
          <w:rFonts w:ascii="Verdana" w:eastAsia="Times New Roman" w:hAnsi="Verdana" w:cs="Arial"/>
          <w:sz w:val="24"/>
          <w:szCs w:val="24"/>
          <w:lang w:val="es-ES" w:eastAsia="es-ES"/>
        </w:rPr>
        <w:t>enfoque</w:t>
      </w:r>
      <w:r w:rsidRPr="00186518">
        <w:rPr>
          <w:rFonts w:ascii="Verdana" w:eastAsia="Times New Roman" w:hAnsi="Verdana" w:cs="Arial"/>
          <w:sz w:val="24"/>
          <w:szCs w:val="24"/>
          <w:lang w:val="es-ES" w:eastAsia="es-ES"/>
        </w:rPr>
        <w:t xml:space="preserve"> tiene por objeto que el intérprete realice la hermenéutica de la norma constitucional en función de lo que la norma significa en la actualidad, no a la intención originaria o histórica que tuvieron los autores de la Constitución. Es un </w:t>
      </w:r>
      <w:r w:rsidR="0062242C">
        <w:rPr>
          <w:rFonts w:ascii="Verdana" w:eastAsia="Times New Roman" w:hAnsi="Verdana" w:cs="Arial"/>
          <w:sz w:val="24"/>
          <w:szCs w:val="24"/>
          <w:lang w:val="es-ES" w:eastAsia="es-ES"/>
        </w:rPr>
        <w:t>criterio</w:t>
      </w:r>
      <w:r w:rsidRPr="00186518">
        <w:rPr>
          <w:rFonts w:ascii="Verdana" w:eastAsia="Times New Roman" w:hAnsi="Verdana" w:cs="Arial"/>
          <w:sz w:val="24"/>
          <w:szCs w:val="24"/>
          <w:lang w:val="es-ES" w:eastAsia="es-ES"/>
        </w:rPr>
        <w:t xml:space="preserve"> que permite la constante adecuación y cambio de la interpretación y el sentido de las disposiciones constitucionales, otorgándole a la norma constitucional flexibilidad y proyección hacia el futuro. Permite</w:t>
      </w:r>
      <w:r w:rsidR="0062242C">
        <w:rPr>
          <w:rFonts w:ascii="Verdana" w:eastAsia="Times New Roman" w:hAnsi="Verdana" w:cs="Arial"/>
          <w:sz w:val="24"/>
          <w:szCs w:val="24"/>
          <w:lang w:val="es-ES" w:eastAsia="es-ES"/>
        </w:rPr>
        <w:t>,</w:t>
      </w:r>
      <w:r w:rsidRPr="00186518">
        <w:rPr>
          <w:rFonts w:ascii="Verdana" w:eastAsia="Times New Roman" w:hAnsi="Verdana" w:cs="Arial"/>
          <w:sz w:val="24"/>
          <w:szCs w:val="24"/>
          <w:lang w:val="es-ES" w:eastAsia="es-ES"/>
        </w:rPr>
        <w:t xml:space="preserve"> además, actualizar el sentido sin recurrir permanentemente a reformas constitucionales. </w:t>
      </w:r>
    </w:p>
    <w:p w14:paraId="51A8E439" w14:textId="46AE3A0D"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Una visión prudente de la interpretación constitucional dinámica es la que propone el constitucionalista Gregorio Badeni, quien señala que un texto constitucional, si está dotado de suficiente flexibilidad y generalidad, es un instrumento de gobierno destinado a satisfacer de manera permanente la idea política dominante que determinó la organización política y las cambiantes necesidades sociales que se operan en una sociedad…La tarea del intérprete es realizar la proyección de las cláusulas constitucionales sobre situaciones no previstas, lo que permite resolver los problemas y necesidades que éstas traen aparejadas, sin alterar la ni esencia ni la letra de la Constitución.</w:t>
      </w:r>
      <w:r w:rsidRPr="00186518">
        <w:rPr>
          <w:rFonts w:ascii="Verdana" w:eastAsia="Times New Roman" w:hAnsi="Verdana" w:cs="Arial"/>
          <w:sz w:val="24"/>
          <w:szCs w:val="24"/>
          <w:vertAlign w:val="superscript"/>
          <w:lang w:val="es-ES" w:eastAsia="es-ES"/>
        </w:rPr>
        <w:footnoteReference w:id="82"/>
      </w:r>
      <w:r w:rsidRPr="00186518">
        <w:rPr>
          <w:rFonts w:ascii="Verdana" w:eastAsia="Times New Roman" w:hAnsi="Verdana" w:cs="Arial"/>
          <w:sz w:val="24"/>
          <w:szCs w:val="24"/>
          <w:lang w:val="es-ES" w:eastAsia="es-ES"/>
        </w:rPr>
        <w:t xml:space="preserve"> Como se advierte, el autor admite en forma limitada la actualización dinámica de los preceptos constitucionales. </w:t>
      </w:r>
    </w:p>
    <w:p w14:paraId="574837DF" w14:textId="2A5D2756"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Por el contrario, Roberto Gargarella destaca las virtudes de este sistema interpretativo. Sostiene que este criterio se basa en la idea de pensar “aquí y ahora” lo que significa la Constitución. Vale decir que el intérprete tiene (renovadamente) la tarea de desentrañar el significado del texto supremo ante nuevas circunstancias fácticas. </w:t>
      </w:r>
    </w:p>
    <w:p w14:paraId="089445B3"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lastRenderedPageBreak/>
        <w:t>Llega a decir este autor que la idea de tener una Constitución “viva” resulta, a primera vista al menos, muy atractiva. Ella viene a descalificar una alternativa que parece no agradable, cual es la de estar “sujetos por la mano muerta del pasado”. Quienes defienden la “actualización” permanente de la Constitución nos prometen, entonces, una vida jurídica “moderna”, acorde a los tiempos.</w:t>
      </w:r>
      <w:r w:rsidRPr="00186518">
        <w:rPr>
          <w:rFonts w:ascii="Verdana" w:eastAsia="Times New Roman" w:hAnsi="Verdana" w:cs="Arial"/>
          <w:sz w:val="24"/>
          <w:szCs w:val="24"/>
          <w:vertAlign w:val="superscript"/>
          <w:lang w:val="es-ES" w:eastAsia="es-ES"/>
        </w:rPr>
        <w:footnoteReference w:id="83"/>
      </w:r>
      <w:r w:rsidRPr="00186518">
        <w:rPr>
          <w:rFonts w:ascii="Verdana" w:eastAsia="Times New Roman" w:hAnsi="Verdana" w:cs="Arial"/>
          <w:sz w:val="24"/>
          <w:szCs w:val="24"/>
          <w:lang w:val="es-ES" w:eastAsia="es-ES"/>
        </w:rPr>
        <w:t xml:space="preserve"> </w:t>
      </w:r>
    </w:p>
    <w:p w14:paraId="549F5EF1" w14:textId="77777777" w:rsidR="00AA635E"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Advierte sin embargo el autor algunas objeciones que podrían hacerse sobre el particular. En primer lugar, se les podría plantear a los partidarios de este método que en realidad deben luchar desde la política para cambiar la Constitución, y no desde el mundo del derecho. Porque la gran duda es “quien” es el sujeto encargado de actualizar la interpretación constitucional: ¿Los poderes políticos o el Poder Judicial? Pero, concluye Gargarella que la alternativa judicial no parece, en principio, inaceptable. Y ello es así porque son los jueces quienes están en contacto diario con las normas jurídicas, a la vez que están en contacto permanente con la sociedad, y, más aún, con los afectados por el derecho. Ellos saben, entonces, los alcances y problemas de los textos constitucionales.</w:t>
      </w:r>
      <w:r w:rsidRPr="00186518">
        <w:rPr>
          <w:rFonts w:ascii="Verdana" w:eastAsia="Times New Roman" w:hAnsi="Verdana" w:cs="Arial"/>
          <w:sz w:val="24"/>
          <w:szCs w:val="24"/>
          <w:vertAlign w:val="superscript"/>
          <w:lang w:val="es-ES" w:eastAsia="es-ES"/>
        </w:rPr>
        <w:footnoteReference w:id="84"/>
      </w:r>
    </w:p>
    <w:p w14:paraId="0478E483" w14:textId="20576A8D"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Germán Bidart Campos destaca con claridad las bondades de la aplicación de un método</w:t>
      </w:r>
      <w:r w:rsidR="00E44D3C">
        <w:rPr>
          <w:rFonts w:ascii="Verdana" w:eastAsia="Times New Roman" w:hAnsi="Verdana" w:cs="Arial"/>
          <w:sz w:val="24"/>
          <w:szCs w:val="24"/>
          <w:lang w:val="es-ES" w:eastAsia="es-ES"/>
        </w:rPr>
        <w:t xml:space="preserve"> o enfoque </w:t>
      </w:r>
      <w:r w:rsidRPr="00186518">
        <w:rPr>
          <w:rFonts w:ascii="Verdana" w:eastAsia="Times New Roman" w:hAnsi="Verdana" w:cs="Arial"/>
          <w:sz w:val="24"/>
          <w:szCs w:val="24"/>
          <w:lang w:val="es-ES" w:eastAsia="es-ES"/>
        </w:rPr>
        <w:t xml:space="preserve">judicial interpretativo dinámico equilibrado, siguiendo los lineamientos de la jurisprudencia de la Corte Suprema. En este sentido el jurista manifiesta que la constitución debe un interpretarse de modo dinámico, sin congelarla en el momento histórico en que fue sancionada, para luego ir adecuando esa interpretación a las transformaciones sucesivas temporalmente </w:t>
      </w:r>
      <w:r w:rsidRPr="00186518">
        <w:rPr>
          <w:rFonts w:ascii="Verdana" w:eastAsia="Times New Roman" w:hAnsi="Verdana" w:cs="Arial"/>
          <w:sz w:val="24"/>
          <w:szCs w:val="24"/>
          <w:lang w:val="es-ES" w:eastAsia="es-ES"/>
        </w:rPr>
        <w:lastRenderedPageBreak/>
        <w:t>progresivas. Pero esa interpretación evolutiva no puede tergiversar la voluntad histórica del constituyente, ni oponerse a ella.</w:t>
      </w:r>
      <w:r w:rsidRPr="00186518">
        <w:rPr>
          <w:rFonts w:ascii="Verdana" w:eastAsia="Times New Roman" w:hAnsi="Verdana" w:cs="Arial"/>
          <w:sz w:val="24"/>
          <w:szCs w:val="24"/>
          <w:vertAlign w:val="superscript"/>
          <w:lang w:val="es-ES" w:eastAsia="es-ES"/>
        </w:rPr>
        <w:footnoteReference w:id="85"/>
      </w:r>
    </w:p>
    <w:p w14:paraId="2CE33AAD" w14:textId="231D99B8"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Veamos seguidamente algunos ejemplos de fallos de nuestra Corte Suprema adonde se haya utilizado </w:t>
      </w:r>
      <w:r w:rsidR="00E44D3C">
        <w:rPr>
          <w:rFonts w:ascii="Verdana" w:eastAsia="Times New Roman" w:hAnsi="Verdana" w:cs="Arial"/>
          <w:sz w:val="24"/>
          <w:szCs w:val="24"/>
          <w:lang w:val="es-ES" w:eastAsia="es-ES"/>
        </w:rPr>
        <w:t>el criterio</w:t>
      </w:r>
      <w:r w:rsidRPr="00186518">
        <w:rPr>
          <w:rFonts w:ascii="Verdana" w:eastAsia="Times New Roman" w:hAnsi="Verdana" w:cs="Arial"/>
          <w:sz w:val="24"/>
          <w:szCs w:val="24"/>
          <w:lang w:val="es-ES" w:eastAsia="es-ES"/>
        </w:rPr>
        <w:t xml:space="preserve"> dinámic</w:t>
      </w:r>
      <w:r w:rsidR="00E44D3C">
        <w:rPr>
          <w:rFonts w:ascii="Verdana" w:eastAsia="Times New Roman" w:hAnsi="Verdana" w:cs="Arial"/>
          <w:sz w:val="24"/>
          <w:szCs w:val="24"/>
          <w:lang w:val="es-ES" w:eastAsia="es-ES"/>
        </w:rPr>
        <w:t>o</w:t>
      </w:r>
      <w:r w:rsidRPr="00186518">
        <w:rPr>
          <w:rFonts w:ascii="Verdana" w:eastAsia="Times New Roman" w:hAnsi="Verdana" w:cs="Arial"/>
          <w:sz w:val="24"/>
          <w:szCs w:val="24"/>
          <w:lang w:val="es-ES" w:eastAsia="es-ES"/>
        </w:rPr>
        <w:t xml:space="preserve">, constructivista o de la “constitución viviente”.  Por ejemplo, en una recordada sentencia donde se convalidó la constitucionalidad de una ley que establecía una moratoria hipotecaria, por razones de emergencia económica y social, la Corte destacó; con grandes referencias a la jurisprudencia norteamericana,  que: “No es admisible la réplica de que esta necesidad pública no fue comprendida (o sospechada) un siglo ha, ni insistir en que aquello que significó el precepto constitucional según el criterio de entonces, deba significar hoy según el criterio actual ("visión of our time"). </w:t>
      </w:r>
    </w:p>
    <w:p w14:paraId="244EC475" w14:textId="57067D5B"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Si se declarara que la Constitución significa hoy, lo que significó en el momento de su adopción, ello importaría decir que las grandes cláusulas de la Constitución deben confinarse a la interpretación que sus autores les habían dado, en las circunstancias y con las perspectivas de su tiempo, y ello expresaría su propia refutación". "Para prevenirse contra tal concepto estrecho, fue que el presidente de la Corte Mr. Marshall expresó la memorable lección: "No debemos olvidar jamás que es una Constitución lo que estamos interpretando (Mac. Culloch v. Maryland, 4 Wheat 316, 407) una Constitución destinada a resistir épocas futuras, y consiguientemente a ser adaptable a las variadas crisis de los asuntos humanos"... El caso que examinamos debe ser considerado a la luz de nuestra experiencia total y no solamente en lo que se dijo un siglo ha"...Finalmente, ha de tenerse presente en la interpretación de la Constitución que ésta fue sancionada para resistir épocas futuras, y </w:t>
      </w:r>
      <w:r w:rsidRPr="00186518">
        <w:rPr>
          <w:rFonts w:ascii="Verdana" w:eastAsia="Times New Roman" w:hAnsi="Verdana" w:cs="Arial"/>
          <w:sz w:val="24"/>
          <w:szCs w:val="24"/>
          <w:lang w:val="es-ES" w:eastAsia="es-ES"/>
        </w:rPr>
        <w:lastRenderedPageBreak/>
        <w:t>debe adaptarse a las variadas crisis de los asuntos humanos…” (Avico, Oscar Agustín c/ De</w:t>
      </w:r>
      <w:r w:rsidR="00E44D3C">
        <w:rPr>
          <w:rFonts w:ascii="Verdana" w:eastAsia="Times New Roman" w:hAnsi="Verdana" w:cs="Arial"/>
          <w:sz w:val="24"/>
          <w:szCs w:val="24"/>
          <w:lang w:val="es-ES" w:eastAsia="es-ES"/>
        </w:rPr>
        <w:t xml:space="preserve"> </w:t>
      </w:r>
      <w:r w:rsidRPr="00186518">
        <w:rPr>
          <w:rFonts w:ascii="Verdana" w:eastAsia="Times New Roman" w:hAnsi="Verdana" w:cs="Arial"/>
          <w:sz w:val="24"/>
          <w:szCs w:val="24"/>
          <w:lang w:val="es-ES" w:eastAsia="es-ES"/>
        </w:rPr>
        <w:t>la Pesa, Saúl G., CSJN, 7/12/1934: Fallos: 172:21). Volveremos a analizar este fallo en la parte especial de este trabajo.</w:t>
      </w:r>
    </w:p>
    <w:p w14:paraId="7CD38C86" w14:textId="0CCF3CFB" w:rsidR="00186518" w:rsidRPr="00186518" w:rsidRDefault="00186518" w:rsidP="00AE689A">
      <w:pPr>
        <w:spacing w:after="0" w:line="360" w:lineRule="auto"/>
        <w:rPr>
          <w:rFonts w:ascii="Verdana" w:eastAsia="Times New Roman" w:hAnsi="Verdana" w:cs="Arial"/>
          <w:sz w:val="24"/>
          <w:szCs w:val="24"/>
          <w:lang w:val="en-US" w:eastAsia="es-ES"/>
        </w:rPr>
      </w:pPr>
      <w:r w:rsidRPr="00186518">
        <w:rPr>
          <w:rFonts w:ascii="Verdana" w:eastAsia="Times New Roman" w:hAnsi="Verdana" w:cs="Arial"/>
          <w:sz w:val="24"/>
          <w:szCs w:val="24"/>
          <w:lang w:val="es-ES" w:eastAsia="es-ES"/>
        </w:rPr>
        <w:t xml:space="preserve">Asimismo, en un señero fallo que, pretorianamente, dio recepción a la acción de amparo contra actos de particulares, la Corte tuvo la oportunidad de argumentar con criterio “dinámico” o actualizador. Entre otras cuestiones, el Alto Tribunal remarcó en esa oportunidad que: “Las leyes y con mayor fundamento la Constitución, que es la ley de leyes y se halla en el cimiento de todo orden jurídico positivo, no pueden ser interpretadas sólo históricamente, sin consideración a las nuevas condiciones y necesidades de la comunidad, porque toda ley, por naturaleza, tiene una visión de futuro, está predestinada a recoger y regir hechos posteriores a su sanción.” (Kot, Samuel (Soc. de Resp. </w:t>
      </w:r>
      <w:r w:rsidRPr="00186518">
        <w:rPr>
          <w:rFonts w:ascii="Verdana" w:eastAsia="Times New Roman" w:hAnsi="Verdana" w:cs="Arial"/>
          <w:sz w:val="24"/>
          <w:szCs w:val="24"/>
          <w:lang w:val="en-US" w:eastAsia="es-ES"/>
        </w:rPr>
        <w:t xml:space="preserve">Ltda.) s/ </w:t>
      </w:r>
      <w:proofErr w:type="spellStart"/>
      <w:r w:rsidRPr="00186518">
        <w:rPr>
          <w:rFonts w:ascii="Verdana" w:eastAsia="Times New Roman" w:hAnsi="Verdana" w:cs="Arial"/>
          <w:sz w:val="24"/>
          <w:szCs w:val="24"/>
          <w:lang w:val="en-US" w:eastAsia="es-ES"/>
        </w:rPr>
        <w:t>Hábeas</w:t>
      </w:r>
      <w:proofErr w:type="spellEnd"/>
      <w:r w:rsidRPr="00186518">
        <w:rPr>
          <w:rFonts w:ascii="Verdana" w:eastAsia="Times New Roman" w:hAnsi="Verdana" w:cs="Arial"/>
          <w:sz w:val="24"/>
          <w:szCs w:val="24"/>
          <w:lang w:val="en-US" w:eastAsia="es-ES"/>
        </w:rPr>
        <w:t xml:space="preserve"> corpus, CSJN, 5/9/1958, LL 92-626)</w:t>
      </w:r>
      <w:r w:rsidRPr="00186518">
        <w:rPr>
          <w:rFonts w:ascii="Verdana" w:eastAsia="Times New Roman" w:hAnsi="Verdana" w:cs="Arial"/>
          <w:sz w:val="24"/>
          <w:szCs w:val="24"/>
          <w:vertAlign w:val="superscript"/>
          <w:lang w:val="en-US" w:eastAsia="es-ES"/>
        </w:rPr>
        <w:footnoteReference w:id="86"/>
      </w:r>
      <w:r w:rsidRPr="00186518">
        <w:rPr>
          <w:rFonts w:ascii="Verdana" w:eastAsia="Times New Roman" w:hAnsi="Verdana" w:cs="Arial"/>
          <w:sz w:val="24"/>
          <w:szCs w:val="24"/>
          <w:lang w:val="en-US" w:eastAsia="es-ES"/>
        </w:rPr>
        <w:t xml:space="preserve">. </w:t>
      </w:r>
    </w:p>
    <w:p w14:paraId="17FE90EA" w14:textId="77777777" w:rsidR="008B594B"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Y finalmente, una innovadora sentencia donde se declaró la inconstitucionalidad de la indisolubilidad del vínculo matrimonial, vigente en una ley de centenaria, decisión que abrió la puerta al divorcio vincular en la Argentina, constituye sin duda un paradigma de la interpretación dinámica. Allí la Corte Suprema dijo: “Que el control de constitucionalidad no puede desentenderse de las transformaciones históricas y sociales. La realidad viviente de cada época perfecciona el espíritu de las instituciones de cada país, o descubre nuevos aspectos no contemplados antes, sin que pueda oponérsele el concepto medio de una época en que la sociedad actuaba de distinta manera (Fallos: 211:262). Esta regla de hermenéutica no implica destruir las bases del orden interno preestablecido, sino defender la Constitución Nacional en </w:t>
      </w:r>
      <w:r w:rsidRPr="00186518">
        <w:rPr>
          <w:rFonts w:ascii="Verdana" w:eastAsia="Times New Roman" w:hAnsi="Verdana" w:cs="Arial"/>
          <w:sz w:val="24"/>
          <w:szCs w:val="24"/>
          <w:lang w:val="es-ES" w:eastAsia="es-ES"/>
        </w:rPr>
        <w:lastRenderedPageBreak/>
        <w:t>el plano superior de la perdurabilidad…” (Sejean c/ Zaks de Sejean, CSJN, 27/11/1986, Fallos: 308:2268)</w:t>
      </w:r>
      <w:r w:rsidRPr="00186518">
        <w:rPr>
          <w:rFonts w:ascii="Verdana" w:eastAsia="Times New Roman" w:hAnsi="Verdana" w:cs="Arial"/>
          <w:sz w:val="24"/>
          <w:szCs w:val="24"/>
          <w:vertAlign w:val="superscript"/>
          <w:lang w:val="es-ES" w:eastAsia="es-ES"/>
        </w:rPr>
        <w:footnoteReference w:id="87"/>
      </w:r>
      <w:r w:rsidRPr="00186518">
        <w:rPr>
          <w:rFonts w:ascii="Verdana" w:eastAsia="Times New Roman" w:hAnsi="Verdana" w:cs="Arial"/>
          <w:sz w:val="24"/>
          <w:szCs w:val="24"/>
          <w:lang w:val="es-ES" w:eastAsia="es-ES"/>
        </w:rPr>
        <w:t>.</w:t>
      </w:r>
    </w:p>
    <w:p w14:paraId="0394605F" w14:textId="561FAB61"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A modo de conclusión, es preciso resaltar la importancia y trascendencia de este </w:t>
      </w:r>
      <w:r w:rsidR="00E44D3C">
        <w:rPr>
          <w:rFonts w:ascii="Verdana" w:eastAsia="Times New Roman" w:hAnsi="Verdana" w:cs="Arial"/>
          <w:sz w:val="24"/>
          <w:szCs w:val="24"/>
          <w:lang w:val="es-ES" w:eastAsia="es-ES"/>
        </w:rPr>
        <w:t xml:space="preserve">criterio o </w:t>
      </w:r>
      <w:r w:rsidRPr="00186518">
        <w:rPr>
          <w:rFonts w:ascii="Verdana" w:eastAsia="Times New Roman" w:hAnsi="Verdana" w:cs="Arial"/>
          <w:sz w:val="24"/>
          <w:szCs w:val="24"/>
          <w:lang w:val="es-ES" w:eastAsia="es-ES"/>
        </w:rPr>
        <w:t>método hermenéutic</w:t>
      </w:r>
      <w:r w:rsidR="00E44D3C">
        <w:rPr>
          <w:rFonts w:ascii="Verdana" w:eastAsia="Times New Roman" w:hAnsi="Verdana" w:cs="Arial"/>
          <w:sz w:val="24"/>
          <w:szCs w:val="24"/>
          <w:lang w:val="es-ES" w:eastAsia="es-ES"/>
        </w:rPr>
        <w:t>o</w:t>
      </w:r>
      <w:r w:rsidRPr="00186518">
        <w:rPr>
          <w:rFonts w:ascii="Verdana" w:eastAsia="Times New Roman" w:hAnsi="Verdana" w:cs="Arial"/>
          <w:sz w:val="24"/>
          <w:szCs w:val="24"/>
          <w:lang w:val="es-ES" w:eastAsia="es-ES"/>
        </w:rPr>
        <w:t xml:space="preserve">, en virtud de las consideraciones expuestas.    </w:t>
      </w:r>
    </w:p>
    <w:p w14:paraId="6E41C0A0" w14:textId="2662C876"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Pero puede existir un peligro en el “exceso” de la interpretación dinámica, advertido por gran parte de la doctrina, sobre el cual vale la pena detenerse. Es el caso de lo que podría denominarse “interpretación constitucional mutativa”. A los efectos de adentrarnos en la cuestión, debemos definir muy brevemente el concepto de mutación constitucional. Básicamente la noción de mutación constitucional implica o define el cambio de la constitución formal o textual por acción del derecho consuetudinario, del derecho judicial constitucional o por normas constitucionales en sentido amplio dictadas por los poderes constituidos; mientras el texto constitucional formal permanece inalterable. </w:t>
      </w:r>
    </w:p>
    <w:p w14:paraId="6B87A917"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Dichas mutaciones pueden ser entendidas en sentido “amplio”, cuando se agregan o adicionan soluciones no previstas en el texto constitucional (praeter constitutionem), o en sentido “estricto”, cuando la solución va directamente en contra del texto constitucional formal (contra constitutionem).</w:t>
      </w:r>
      <w:r w:rsidRPr="00186518">
        <w:rPr>
          <w:rFonts w:ascii="Verdana" w:eastAsia="Times New Roman" w:hAnsi="Verdana" w:cs="Arial"/>
          <w:sz w:val="24"/>
          <w:szCs w:val="24"/>
          <w:vertAlign w:val="superscript"/>
          <w:lang w:val="es-ES" w:eastAsia="es-ES"/>
        </w:rPr>
        <w:footnoteReference w:id="88"/>
      </w:r>
      <w:r w:rsidRPr="00186518">
        <w:rPr>
          <w:rFonts w:ascii="Verdana" w:eastAsia="Times New Roman" w:hAnsi="Verdana" w:cs="Arial"/>
          <w:sz w:val="24"/>
          <w:szCs w:val="24"/>
          <w:lang w:val="es-ES" w:eastAsia="es-ES"/>
        </w:rPr>
        <w:t xml:space="preserve"> ¿Podría pensarse que el máximo de amplitud en la interpretación dinámica nos pondría en el borde de la mutación de la norma constitucional?</w:t>
      </w:r>
    </w:p>
    <w:p w14:paraId="4E6ED802" w14:textId="030A5291"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Dejo de lado la cuestión de la interpretación mutativa amplia, o “praeter constitutionem”, donde, al no haber solución al problema en el texto formal de la constitución, pareciera que el campo de discrecionalidad del </w:t>
      </w:r>
      <w:r w:rsidRPr="00186518">
        <w:rPr>
          <w:rFonts w:ascii="Verdana" w:eastAsia="Times New Roman" w:hAnsi="Verdana" w:cs="Arial"/>
          <w:sz w:val="24"/>
          <w:szCs w:val="24"/>
          <w:lang w:val="es-ES" w:eastAsia="es-ES"/>
        </w:rPr>
        <w:lastRenderedPageBreak/>
        <w:t xml:space="preserve">intérprete judicial se acrecienta. Circunscribo, en cambio, el problema a la interpretación mutativa estricta o “contra constitutionem”. </w:t>
      </w:r>
    </w:p>
    <w:p w14:paraId="0D6199EC" w14:textId="652BF770"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En tal sentido, Sagüés sostiene que la interpretación se vuelve ilegítima cuando desvirtúa o falsea la norma constitucional no injusta, alterando el mensaje jurídico político encapsulado en la norma vigente. Como acto infiel, la inte</w:t>
      </w:r>
      <w:r w:rsidR="004850F1">
        <w:rPr>
          <w:rFonts w:ascii="Verdana" w:eastAsia="Times New Roman" w:hAnsi="Verdana" w:cs="Arial"/>
          <w:sz w:val="24"/>
          <w:szCs w:val="24"/>
          <w:lang w:val="es-ES" w:eastAsia="es-ES"/>
        </w:rPr>
        <w:t>r</w:t>
      </w:r>
      <w:r w:rsidRPr="00186518">
        <w:rPr>
          <w:rFonts w:ascii="Verdana" w:eastAsia="Times New Roman" w:hAnsi="Verdana" w:cs="Arial"/>
          <w:sz w:val="24"/>
          <w:szCs w:val="24"/>
          <w:lang w:val="es-ES" w:eastAsia="es-ES"/>
        </w:rPr>
        <w:t>pretación mutativa una norma constitucional no injusta, deviene disvaliosa. Podría entenderse esto en caso de necesidad, o frente un indudable cambio en el contexto de vida o en las creencias sociales. En ese caso, una comunidad entenderá hoy una regla constitucional de modo distinto al de otro tiempo. Y, si no se lesionan derechos humanos fundamentales, la interpretación deberá ser admitida</w:t>
      </w:r>
      <w:r w:rsidRPr="00186518">
        <w:rPr>
          <w:rFonts w:ascii="Verdana" w:eastAsia="Times New Roman" w:hAnsi="Verdana" w:cs="Arial"/>
          <w:sz w:val="24"/>
          <w:szCs w:val="24"/>
          <w:vertAlign w:val="superscript"/>
          <w:lang w:val="es-ES" w:eastAsia="es-ES"/>
        </w:rPr>
        <w:footnoteReference w:id="89"/>
      </w:r>
      <w:r w:rsidRPr="00186518">
        <w:rPr>
          <w:rFonts w:ascii="Verdana" w:eastAsia="Times New Roman" w:hAnsi="Verdana" w:cs="Arial"/>
          <w:sz w:val="24"/>
          <w:szCs w:val="24"/>
          <w:lang w:val="es-ES" w:eastAsia="es-ES"/>
        </w:rPr>
        <w:t xml:space="preserve"> Coincido con el autor en cuanto a considerar que la interpretación judicial “mutativa” no es “per se” inconstitucional, pero puede llegar a serlo en ciertos casos.        </w:t>
      </w:r>
    </w:p>
    <w:p w14:paraId="745ABA5D" w14:textId="77777777" w:rsidR="00186518" w:rsidRPr="00186518" w:rsidRDefault="00186518" w:rsidP="00AE689A">
      <w:pPr>
        <w:spacing w:after="0" w:line="360" w:lineRule="auto"/>
        <w:rPr>
          <w:rFonts w:ascii="Verdana" w:eastAsia="Times New Roman" w:hAnsi="Verdana" w:cs="Arial"/>
          <w:sz w:val="24"/>
          <w:szCs w:val="24"/>
          <w:lang w:val="es-ES" w:eastAsia="es-ES"/>
        </w:rPr>
      </w:pPr>
    </w:p>
    <w:p w14:paraId="57AC7480" w14:textId="08C942FE" w:rsidR="00186518" w:rsidRDefault="00186518" w:rsidP="00AE689A">
      <w:pPr>
        <w:spacing w:after="0" w:line="360" w:lineRule="auto"/>
        <w:rPr>
          <w:rFonts w:ascii="Verdana" w:eastAsia="Times New Roman" w:hAnsi="Verdana" w:cs="Arial"/>
          <w:b/>
          <w:bCs/>
          <w:sz w:val="24"/>
          <w:szCs w:val="24"/>
          <w:lang w:val="es-ES" w:eastAsia="es-ES"/>
        </w:rPr>
      </w:pPr>
      <w:r w:rsidRPr="008B594B">
        <w:rPr>
          <w:rFonts w:ascii="Verdana" w:eastAsia="Times New Roman" w:hAnsi="Verdana" w:cs="Arial"/>
          <w:b/>
          <w:bCs/>
          <w:sz w:val="24"/>
          <w:szCs w:val="24"/>
          <w:lang w:val="es-ES" w:eastAsia="es-ES"/>
        </w:rPr>
        <w:t>Interpretación y manipulación constitucional</w:t>
      </w:r>
    </w:p>
    <w:p w14:paraId="2C1BB608" w14:textId="77777777" w:rsidR="00B73B77" w:rsidRPr="008B594B" w:rsidRDefault="00B73B77" w:rsidP="00AE689A">
      <w:pPr>
        <w:spacing w:after="0" w:line="360" w:lineRule="auto"/>
        <w:rPr>
          <w:rFonts w:ascii="Verdana" w:eastAsia="Times New Roman" w:hAnsi="Verdana" w:cs="Arial"/>
          <w:b/>
          <w:bCs/>
          <w:sz w:val="24"/>
          <w:szCs w:val="24"/>
          <w:lang w:val="es-ES" w:eastAsia="es-ES"/>
        </w:rPr>
      </w:pPr>
    </w:p>
    <w:p w14:paraId="0DFE2FF0" w14:textId="3E232DBE"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Conforme lo explica Sagüés</w:t>
      </w:r>
      <w:r w:rsidRPr="00186518">
        <w:rPr>
          <w:rFonts w:ascii="Verdana" w:eastAsia="Times New Roman" w:hAnsi="Verdana" w:cs="Arial"/>
          <w:sz w:val="24"/>
          <w:szCs w:val="24"/>
          <w:vertAlign w:val="superscript"/>
          <w:lang w:val="es-ES" w:eastAsia="es-ES"/>
        </w:rPr>
        <w:footnoteReference w:id="90"/>
      </w:r>
      <w:r w:rsidRPr="00186518">
        <w:rPr>
          <w:rFonts w:ascii="Verdana" w:eastAsia="Times New Roman" w:hAnsi="Verdana" w:cs="Arial"/>
          <w:sz w:val="24"/>
          <w:szCs w:val="24"/>
          <w:lang w:val="es-ES" w:eastAsia="es-ES"/>
        </w:rPr>
        <w:t xml:space="preserve"> que una de las acepciones del verbo manipula implica “intervenir con medios hábiles y arteros en la política, en la sociedad, etc., para servir intereses propios o ajenos</w:t>
      </w:r>
      <w:r w:rsidRPr="00186518">
        <w:rPr>
          <w:rFonts w:ascii="Verdana" w:eastAsia="Times New Roman" w:hAnsi="Verdana" w:cs="Arial"/>
          <w:sz w:val="24"/>
          <w:szCs w:val="24"/>
          <w:vertAlign w:val="superscript"/>
          <w:lang w:val="es-ES" w:eastAsia="es-ES"/>
        </w:rPr>
        <w:footnoteReference w:id="91"/>
      </w:r>
      <w:r w:rsidRPr="00186518">
        <w:rPr>
          <w:rFonts w:ascii="Verdana" w:eastAsia="Times New Roman" w:hAnsi="Verdana" w:cs="Arial"/>
          <w:sz w:val="24"/>
          <w:szCs w:val="24"/>
          <w:lang w:val="es-ES" w:eastAsia="es-ES"/>
        </w:rPr>
        <w:t xml:space="preserve">. Como podemos advertir, entramos en el terreno de lo patológico. La manipulación sería una desviación, una patología de la interpretación. Sin embargo, el mismo Sagüés trata de distinguir entre una manipulación “buena” o “altruista”, que consistiría en ardides hermenéuticos utilizados a los fines de conseguir el bien común y otra “mala” –obviamente la mayoritaria-, que consiste en el uso de la Constitución, como herramienta, a través de ardides o maniobras, más </w:t>
      </w:r>
      <w:r w:rsidRPr="00186518">
        <w:rPr>
          <w:rFonts w:ascii="Verdana" w:eastAsia="Times New Roman" w:hAnsi="Verdana" w:cs="Arial"/>
          <w:sz w:val="24"/>
          <w:szCs w:val="24"/>
          <w:lang w:val="es-ES" w:eastAsia="es-ES"/>
        </w:rPr>
        <w:lastRenderedPageBreak/>
        <w:t xml:space="preserve">o menos sofisticados o burdos, a los efectos de diseñar un montaje argumentativo, en provecho de un interés particular o inferior. </w:t>
      </w:r>
    </w:p>
    <w:p w14:paraId="6B81D111" w14:textId="7CF46C8E"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En este último caso, la manipulación constitucional nunca es gratuita o inocente. Sus técnicas, conforme el pensamiento de este jurista, son variadas, y abarcan, por ejemplo, prácticas como dar a las palabras de la Constitución un sentido absurdo, interpretar en forma aislada un artículo a los fines de evitar su necesaria concordancia con otro, realizar afirmaciones meramente dogmáticas, practicar analogías improcedentes o utilizar inapropiadamente principios jurídicos. </w:t>
      </w:r>
    </w:p>
    <w:p w14:paraId="6E3E72EF" w14:textId="188CD351"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Con respecto a los tipos de manipulación constitucional, Sagüés distingue varios. Hay manipulación ideológica cuando el operador constitucional la instrumenta con un ritmo ideológico distinto al de ella o diferente al que tenía cuando fue creada. Ejemplos de ello son la interpretación constitucional mutativa y la doctrina de la Constitución viviente (living constitution) que, al entender que la norma constitucional es algo que muta y se recrea continuamente, hace prevalecer en forma indirecta la ideología mayoritaria. </w:t>
      </w:r>
    </w:p>
    <w:p w14:paraId="6CCC1B1B"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El tema es complejo, ya que hay un difuso límite con la interpretación dinámica o constructivista de la Constitución. Lo que sí queda claro es que todo texto constitucional tiene techos ideológicos, y que muchas veces ellos son múltiples (en el caso argentino conviven en el mismo texto los techos axiológicos de 1853-60, 1957 y 1994), lo cual hace aún más complejo el tema. </w:t>
      </w:r>
    </w:p>
    <w:p w14:paraId="6D38C461" w14:textId="42B92368"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Hay manipulación gubernativa, cuando se realiza una lectura de la Constitución a favor de aquellos que gobiernan. Hay manipulación partidista, cuando la interpretación se utiliza para favorecer los intereses de algún o algunos partidos políticos concretos. Hay manipulación narcisista, cuando el objetivo de </w:t>
      </w:r>
      <w:r w:rsidR="00C04463">
        <w:rPr>
          <w:rFonts w:ascii="Verdana" w:eastAsia="Times New Roman" w:hAnsi="Verdana" w:cs="Arial"/>
          <w:sz w:val="24"/>
          <w:szCs w:val="24"/>
          <w:lang w:val="es-ES" w:eastAsia="es-ES"/>
        </w:rPr>
        <w:t>esta</w:t>
      </w:r>
      <w:r w:rsidRPr="00186518">
        <w:rPr>
          <w:rFonts w:ascii="Verdana" w:eastAsia="Times New Roman" w:hAnsi="Verdana" w:cs="Arial"/>
          <w:sz w:val="24"/>
          <w:szCs w:val="24"/>
          <w:lang w:val="es-ES" w:eastAsia="es-ES"/>
        </w:rPr>
        <w:t xml:space="preserve"> es favorecer la figura del intérprete, con el objetivo de demostrar que su interpretación es la única posible y aceptable. Hay manipulación forense si se practica para </w:t>
      </w:r>
      <w:r w:rsidRPr="00186518">
        <w:rPr>
          <w:rFonts w:ascii="Verdana" w:eastAsia="Times New Roman" w:hAnsi="Verdana" w:cs="Arial"/>
          <w:sz w:val="24"/>
          <w:szCs w:val="24"/>
          <w:lang w:val="es-ES" w:eastAsia="es-ES"/>
        </w:rPr>
        <w:lastRenderedPageBreak/>
        <w:t xml:space="preserve">defender posturas concretas en procesos judiciales y la Constitución termina siendo desvirtuada en función de esos fines. </w:t>
      </w:r>
    </w:p>
    <w:p w14:paraId="35D2BAE5" w14:textId="6D938731"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El concepto de manipulación no surge de la Constitución ni del Derecho Constitucional. Para Sagüés es fruto de la dimensión fáctica o existencial de la norma suprema. Estimo, como opinión, que es una patología que debe ser identificada y rechazada siempre y en todos los casos.</w:t>
      </w:r>
    </w:p>
    <w:p w14:paraId="7058AE31" w14:textId="77777777" w:rsidR="00186518" w:rsidRPr="00186518" w:rsidRDefault="00186518" w:rsidP="00AE689A">
      <w:pPr>
        <w:spacing w:after="0" w:line="360" w:lineRule="auto"/>
        <w:rPr>
          <w:rFonts w:ascii="Verdana" w:eastAsia="Times New Roman" w:hAnsi="Verdana" w:cs="Arial"/>
          <w:sz w:val="24"/>
          <w:szCs w:val="24"/>
          <w:lang w:val="es-ES" w:eastAsia="es-ES"/>
        </w:rPr>
      </w:pPr>
    </w:p>
    <w:p w14:paraId="151F8730" w14:textId="4FB6488E" w:rsidR="00186518" w:rsidRDefault="00186518" w:rsidP="00AE689A">
      <w:pPr>
        <w:spacing w:after="0" w:line="360" w:lineRule="auto"/>
        <w:rPr>
          <w:rFonts w:ascii="Verdana" w:eastAsia="Times New Roman" w:hAnsi="Verdana" w:cs="Arial"/>
          <w:b/>
          <w:bCs/>
          <w:sz w:val="24"/>
          <w:szCs w:val="24"/>
          <w:lang w:val="es-ES" w:eastAsia="es-ES"/>
        </w:rPr>
      </w:pPr>
      <w:r w:rsidRPr="00837231">
        <w:rPr>
          <w:rFonts w:ascii="Verdana" w:eastAsia="Times New Roman" w:hAnsi="Verdana" w:cs="Arial"/>
          <w:b/>
          <w:bCs/>
          <w:sz w:val="24"/>
          <w:szCs w:val="24"/>
          <w:lang w:val="es-ES" w:eastAsia="es-ES"/>
        </w:rPr>
        <w:t>3. LA ARGUMENTACIÓN</w:t>
      </w:r>
    </w:p>
    <w:p w14:paraId="1F0A3CD7" w14:textId="77777777" w:rsidR="00837231" w:rsidRPr="00837231" w:rsidRDefault="00837231" w:rsidP="00AE689A">
      <w:pPr>
        <w:spacing w:after="0" w:line="360" w:lineRule="auto"/>
        <w:rPr>
          <w:rFonts w:ascii="Verdana" w:eastAsia="Times New Roman" w:hAnsi="Verdana" w:cs="Arial"/>
          <w:b/>
          <w:bCs/>
          <w:sz w:val="24"/>
          <w:szCs w:val="24"/>
          <w:lang w:val="es-ES" w:eastAsia="es-ES"/>
        </w:rPr>
      </w:pPr>
    </w:p>
    <w:p w14:paraId="7591F9CD" w14:textId="61912159" w:rsidR="00186518" w:rsidRDefault="00186518" w:rsidP="00AE689A">
      <w:pPr>
        <w:spacing w:after="0" w:line="360" w:lineRule="auto"/>
        <w:rPr>
          <w:rFonts w:ascii="Verdana" w:eastAsia="Times New Roman" w:hAnsi="Verdana" w:cs="Arial"/>
          <w:b/>
          <w:bCs/>
          <w:sz w:val="24"/>
          <w:szCs w:val="24"/>
          <w:lang w:val="es-ES" w:eastAsia="es-ES"/>
        </w:rPr>
      </w:pPr>
      <w:r w:rsidRPr="00837231">
        <w:rPr>
          <w:rFonts w:ascii="Verdana" w:eastAsia="Times New Roman" w:hAnsi="Verdana" w:cs="Arial"/>
          <w:b/>
          <w:bCs/>
          <w:sz w:val="24"/>
          <w:szCs w:val="24"/>
          <w:lang w:val="es-ES" w:eastAsia="es-ES"/>
        </w:rPr>
        <w:t>Concepto</w:t>
      </w:r>
    </w:p>
    <w:p w14:paraId="17B935A4" w14:textId="77777777" w:rsidR="00592BF4" w:rsidRPr="00837231" w:rsidRDefault="00592BF4" w:rsidP="00AE689A">
      <w:pPr>
        <w:spacing w:after="0" w:line="360" w:lineRule="auto"/>
        <w:rPr>
          <w:rFonts w:ascii="Verdana" w:eastAsia="Times New Roman" w:hAnsi="Verdana" w:cs="Arial"/>
          <w:b/>
          <w:bCs/>
          <w:sz w:val="24"/>
          <w:szCs w:val="24"/>
          <w:lang w:val="es-ES" w:eastAsia="es-ES"/>
        </w:rPr>
      </w:pPr>
    </w:p>
    <w:p w14:paraId="7C29249B" w14:textId="647E5B40"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En el siglo XXI puede entenderse a la interpretación en el marco o contenida por el discurso racional argumentativo</w:t>
      </w:r>
      <w:r w:rsidRPr="00186518">
        <w:rPr>
          <w:rFonts w:ascii="Verdana" w:eastAsia="Times New Roman" w:hAnsi="Verdana" w:cs="Arial"/>
          <w:sz w:val="24"/>
          <w:szCs w:val="24"/>
          <w:vertAlign w:val="superscript"/>
          <w:lang w:val="es-ES" w:eastAsia="es-ES"/>
        </w:rPr>
        <w:footnoteReference w:id="92"/>
      </w:r>
      <w:r w:rsidRPr="00186518">
        <w:rPr>
          <w:rFonts w:ascii="Verdana" w:eastAsia="Times New Roman" w:hAnsi="Verdana" w:cs="Arial"/>
          <w:sz w:val="24"/>
          <w:szCs w:val="24"/>
          <w:lang w:val="es-ES" w:eastAsia="es-ES"/>
        </w:rPr>
        <w:t>. Ello va a implicar dos cosas: en primer lugar</w:t>
      </w:r>
      <w:r w:rsidR="001724C8">
        <w:rPr>
          <w:rFonts w:ascii="Verdana" w:eastAsia="Times New Roman" w:hAnsi="Verdana" w:cs="Arial"/>
          <w:sz w:val="24"/>
          <w:szCs w:val="24"/>
          <w:lang w:val="es-ES" w:eastAsia="es-ES"/>
        </w:rPr>
        <w:t>,</w:t>
      </w:r>
      <w:r w:rsidRPr="00186518">
        <w:rPr>
          <w:rFonts w:ascii="Verdana" w:eastAsia="Times New Roman" w:hAnsi="Verdana" w:cs="Arial"/>
          <w:sz w:val="24"/>
          <w:szCs w:val="24"/>
          <w:lang w:val="es-ES" w:eastAsia="es-ES"/>
        </w:rPr>
        <w:t xml:space="preserve"> recuperar la retórica, entendida como la ciencia y el arte de la persuasión, vale decir en su sentido original aristotélico; y en segundo lugar enmarcar las reglas de la lógica hermenéutica dentro de este contexto persuasivo. Este cambio se relaciona con la puesta en crisis del paradigma teórico que le asignaba el rol central del ordenamiento jurídico a la ley, en el cual la interpretación era siempre “interpretación de la ley”. Dicho paradigma tuvo su apogeo en el siglo XIX y la primera mitad del XX. Producto de la crisis de</w:t>
      </w:r>
      <w:r w:rsidR="001724C8">
        <w:rPr>
          <w:rFonts w:ascii="Verdana" w:eastAsia="Times New Roman" w:hAnsi="Verdana" w:cs="Arial"/>
          <w:sz w:val="24"/>
          <w:szCs w:val="24"/>
          <w:lang w:val="es-ES" w:eastAsia="es-ES"/>
        </w:rPr>
        <w:t xml:space="preserve"> este paradigma</w:t>
      </w:r>
      <w:r w:rsidRPr="00186518">
        <w:rPr>
          <w:rFonts w:ascii="Verdana" w:eastAsia="Times New Roman" w:hAnsi="Verdana" w:cs="Arial"/>
          <w:sz w:val="24"/>
          <w:szCs w:val="24"/>
          <w:lang w:val="es-ES" w:eastAsia="es-ES"/>
        </w:rPr>
        <w:t xml:space="preserve"> aparece la noción de argumentación</w:t>
      </w:r>
      <w:r w:rsidR="001724C8">
        <w:rPr>
          <w:rFonts w:ascii="Verdana" w:eastAsia="Times New Roman" w:hAnsi="Verdana" w:cs="Arial"/>
          <w:sz w:val="24"/>
          <w:szCs w:val="24"/>
          <w:lang w:val="es-ES" w:eastAsia="es-ES"/>
        </w:rPr>
        <w:t xml:space="preserve">. El </w:t>
      </w:r>
      <w:r w:rsidRPr="00186518">
        <w:rPr>
          <w:rFonts w:ascii="Verdana" w:eastAsia="Times New Roman" w:hAnsi="Verdana" w:cs="Arial"/>
          <w:sz w:val="24"/>
          <w:szCs w:val="24"/>
          <w:lang w:val="es-ES" w:eastAsia="es-ES"/>
        </w:rPr>
        <w:t xml:space="preserve">discurso argumentativo </w:t>
      </w:r>
      <w:r w:rsidR="001724C8">
        <w:rPr>
          <w:rFonts w:ascii="Verdana" w:eastAsia="Times New Roman" w:hAnsi="Verdana" w:cs="Arial"/>
          <w:sz w:val="24"/>
          <w:szCs w:val="24"/>
          <w:lang w:val="es-ES" w:eastAsia="es-ES"/>
        </w:rPr>
        <w:t xml:space="preserve">aparece </w:t>
      </w:r>
      <w:r w:rsidRPr="00186518">
        <w:rPr>
          <w:rFonts w:ascii="Verdana" w:eastAsia="Times New Roman" w:hAnsi="Verdana" w:cs="Arial"/>
          <w:sz w:val="24"/>
          <w:szCs w:val="24"/>
          <w:lang w:val="es-ES" w:eastAsia="es-ES"/>
        </w:rPr>
        <w:t xml:space="preserve">como noción que comprende y a la vez supera la noción de interpretación, y, además, le asigna al juez un rol más relevante y activo en el proceso hermenéutico.  </w:t>
      </w:r>
      <w:r w:rsidR="001724C8">
        <w:rPr>
          <w:rFonts w:ascii="Verdana" w:eastAsia="Times New Roman" w:hAnsi="Verdana" w:cs="Arial"/>
          <w:sz w:val="24"/>
          <w:szCs w:val="24"/>
          <w:lang w:val="es-ES" w:eastAsia="es-ES"/>
        </w:rPr>
        <w:t xml:space="preserve">Y se ubica no ya en el contexto del “descubrimiento” o construcción del sentido de la norma, sino más bien en el de la justificación de la decisión judicial. </w:t>
      </w:r>
    </w:p>
    <w:p w14:paraId="516E4751"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lastRenderedPageBreak/>
        <w:t>Según Imerio Jorge Catenacci</w:t>
      </w:r>
      <w:r w:rsidRPr="00186518">
        <w:rPr>
          <w:rFonts w:ascii="Verdana" w:eastAsia="Times New Roman" w:hAnsi="Verdana" w:cs="Arial"/>
          <w:sz w:val="24"/>
          <w:szCs w:val="24"/>
          <w:vertAlign w:val="superscript"/>
          <w:lang w:val="es-ES" w:eastAsia="es-ES"/>
        </w:rPr>
        <w:footnoteReference w:id="93"/>
      </w:r>
      <w:r w:rsidRPr="00186518">
        <w:rPr>
          <w:rFonts w:ascii="Verdana" w:eastAsia="Times New Roman" w:hAnsi="Verdana" w:cs="Arial"/>
          <w:sz w:val="24"/>
          <w:szCs w:val="24"/>
          <w:lang w:val="es-ES" w:eastAsia="es-ES"/>
        </w:rPr>
        <w:t>que la argumentación constituye un razonamiento formulado con el fin de conseguir la aceptación o el rechazo de una tesis determinada. Esa aceptación o rechazo dependerá de la eficacia de la argumentación que le sirve de apoyo</w:t>
      </w:r>
      <w:r w:rsidRPr="00186518">
        <w:rPr>
          <w:rFonts w:ascii="Verdana" w:eastAsia="Times New Roman" w:hAnsi="Verdana" w:cs="Arial"/>
          <w:sz w:val="24"/>
          <w:szCs w:val="24"/>
          <w:vertAlign w:val="superscript"/>
          <w:lang w:val="es-ES" w:eastAsia="es-ES"/>
        </w:rPr>
        <w:footnoteReference w:id="94"/>
      </w:r>
      <w:r w:rsidRPr="00186518">
        <w:rPr>
          <w:rFonts w:ascii="Verdana" w:eastAsia="Times New Roman" w:hAnsi="Verdana" w:cs="Arial"/>
          <w:sz w:val="24"/>
          <w:szCs w:val="24"/>
          <w:lang w:val="es-ES" w:eastAsia="es-ES"/>
        </w:rPr>
        <w:t>. Precisando el concepto, el autor señala que argumentar significa brindar un conjunto de razones o pruebas de apoyo de una conclusión. Un argumento no es afirmar una opinión. Es un intento de apoyar una opinión con razones. Al argumentar debemos expresar los fundamentos de nuestras creencias. Por eso, para Catemacci, la capacidad de defender las opiniones reside en última instancia en la argumentación.</w:t>
      </w:r>
      <w:r w:rsidRPr="00186518">
        <w:rPr>
          <w:rFonts w:ascii="Verdana" w:eastAsia="Times New Roman" w:hAnsi="Verdana" w:cs="Arial"/>
          <w:sz w:val="24"/>
          <w:szCs w:val="24"/>
          <w:vertAlign w:val="superscript"/>
          <w:lang w:val="es-ES" w:eastAsia="es-ES"/>
        </w:rPr>
        <w:footnoteReference w:id="95"/>
      </w:r>
    </w:p>
    <w:p w14:paraId="0EB2D5C1"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Originariamente, la argumentación se relacionaba con el arte de la Retórica y la Oratoria. Aristóteles se ocupó especialmente del tema en su libro “El Arte de la Retórica”. Allí señaló que: “El arte de la Retórica es paralelo al de la Dialéctica, porque ambas tratan de aquello que comúnmente todos pueden conocer de alguna manera y que no pertenece a ninguna ciencia determinada. Por eso, todos poseen ambas artes en alguna forma, como quiera que todos tratan, hasta cierto punto, de buscar razones y sostener lo que afirman y se ingenian para defender y acusar”</w:t>
      </w:r>
      <w:r w:rsidRPr="00186518">
        <w:rPr>
          <w:rFonts w:ascii="Verdana" w:eastAsia="Times New Roman" w:hAnsi="Verdana" w:cs="Arial"/>
          <w:sz w:val="24"/>
          <w:szCs w:val="24"/>
          <w:vertAlign w:val="superscript"/>
          <w:lang w:val="es-ES" w:eastAsia="es-ES"/>
        </w:rPr>
        <w:footnoteReference w:id="96"/>
      </w:r>
      <w:r w:rsidRPr="00186518">
        <w:rPr>
          <w:rFonts w:ascii="Verdana" w:eastAsia="Times New Roman" w:hAnsi="Verdana" w:cs="Arial"/>
          <w:sz w:val="24"/>
          <w:szCs w:val="24"/>
          <w:lang w:val="es-ES" w:eastAsia="es-ES"/>
        </w:rPr>
        <w:t xml:space="preserve">. </w:t>
      </w:r>
    </w:p>
    <w:p w14:paraId="7DBF1318"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A diferencia de la Lógica, estructurada a partir del silogismo, la Retórica se basaba en lo que el Estagirita denominaba entimemas y poseía reglas propias. El objetivo es convencer, persuadir y que los argumentos esgrimidos sean verosímiles. Distinguía tres géneros retóricos: el deliberativo, propio de las asambleas, el judicial y el demostrativo</w:t>
      </w:r>
      <w:r w:rsidRPr="00186518">
        <w:rPr>
          <w:rFonts w:ascii="Verdana" w:eastAsia="Times New Roman" w:hAnsi="Verdana" w:cs="Arial"/>
          <w:sz w:val="24"/>
          <w:szCs w:val="24"/>
          <w:vertAlign w:val="superscript"/>
          <w:lang w:val="es-ES" w:eastAsia="es-ES"/>
        </w:rPr>
        <w:footnoteReference w:id="97"/>
      </w:r>
      <w:r w:rsidRPr="00186518">
        <w:rPr>
          <w:rFonts w:ascii="Verdana" w:eastAsia="Times New Roman" w:hAnsi="Verdana" w:cs="Arial"/>
          <w:sz w:val="24"/>
          <w:szCs w:val="24"/>
          <w:lang w:val="es-ES" w:eastAsia="es-ES"/>
        </w:rPr>
        <w:t xml:space="preserve">. En </w:t>
      </w:r>
      <w:r w:rsidRPr="00186518">
        <w:rPr>
          <w:rFonts w:ascii="Verdana" w:eastAsia="Times New Roman" w:hAnsi="Verdana" w:cs="Arial"/>
          <w:sz w:val="24"/>
          <w:szCs w:val="24"/>
          <w:lang w:val="es-ES" w:eastAsia="es-ES"/>
        </w:rPr>
        <w:lastRenderedPageBreak/>
        <w:t>Roma, Marco Tulio Cicerón vinculaba especialmente el arte de persuadir y la oratoria con el Derecho. En tal sentido enseñaba que la oratoria es una parte, no todo el saber civil. Su arte consiste en decir de una manera acomodada para la persuasión y su finalidad es persuadir con palabras.</w:t>
      </w:r>
      <w:r w:rsidRPr="00186518">
        <w:rPr>
          <w:rFonts w:ascii="Verdana" w:eastAsia="Times New Roman" w:hAnsi="Verdana" w:cs="Arial"/>
          <w:sz w:val="24"/>
          <w:szCs w:val="24"/>
          <w:vertAlign w:val="superscript"/>
          <w:lang w:val="es-ES" w:eastAsia="es-ES"/>
        </w:rPr>
        <w:footnoteReference w:id="98"/>
      </w:r>
    </w:p>
    <w:p w14:paraId="264C7296"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Conforme lo explica Manuel Atienza</w:t>
      </w:r>
      <w:r w:rsidRPr="00186518">
        <w:rPr>
          <w:rFonts w:ascii="Verdana" w:eastAsia="Times New Roman" w:hAnsi="Verdana" w:cs="Arial"/>
          <w:sz w:val="24"/>
          <w:szCs w:val="24"/>
          <w:vertAlign w:val="superscript"/>
          <w:lang w:val="es-ES" w:eastAsia="es-ES"/>
        </w:rPr>
        <w:footnoteReference w:id="99"/>
      </w:r>
      <w:r w:rsidRPr="00186518">
        <w:rPr>
          <w:rFonts w:ascii="Verdana" w:eastAsia="Times New Roman" w:hAnsi="Verdana" w:cs="Arial"/>
          <w:sz w:val="24"/>
          <w:szCs w:val="24"/>
          <w:lang w:val="es-ES" w:eastAsia="es-ES"/>
        </w:rPr>
        <w:t>, lo que se conoce en la actualidad como teoría de la argumentación jurídica tiene sus comienzos en los años cincuenta del siglo XX. En dicho momento, varios autores comenzaron a manifestar, a través de sus obras, su rechazo de la lógica formal como instrumento para analizar los razonamientos jurídicos</w:t>
      </w:r>
      <w:r w:rsidRPr="00186518">
        <w:rPr>
          <w:rFonts w:ascii="Verdana" w:eastAsia="Times New Roman" w:hAnsi="Verdana" w:cs="Arial"/>
          <w:sz w:val="24"/>
          <w:szCs w:val="24"/>
          <w:vertAlign w:val="superscript"/>
          <w:lang w:val="es-ES" w:eastAsia="es-ES"/>
        </w:rPr>
        <w:footnoteReference w:id="100"/>
      </w:r>
      <w:r w:rsidRPr="00186518">
        <w:rPr>
          <w:rFonts w:ascii="Verdana" w:eastAsia="Times New Roman" w:hAnsi="Verdana" w:cs="Arial"/>
          <w:sz w:val="24"/>
          <w:szCs w:val="24"/>
          <w:lang w:val="es-ES" w:eastAsia="es-ES"/>
        </w:rPr>
        <w:t xml:space="preserve">. Dentro de estos autores, Atienza menciona en primer lugar a Theodor Viehweg, quien, en su libro “Tópica y Jurisprudencia”, de 1953, reivindicó la importancia teórica del modo de pensar tópico o retórico, retomando la tradición clásica, de Aristóteles y Cicerón. </w:t>
      </w:r>
    </w:p>
    <w:p w14:paraId="5DD4A980"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El modo de pensar el discurso jurídico deja la idea de la lógica formal y el legiscentrismo, y retoma la idea dialéctica de la retórica. En este orden de ideas, la tópica es una parte de la dialéctica que se relaciona con el conocimiento de lo probable</w:t>
      </w:r>
      <w:r w:rsidRPr="00186518">
        <w:rPr>
          <w:rFonts w:ascii="Verdana" w:eastAsia="Times New Roman" w:hAnsi="Verdana" w:cs="Arial"/>
          <w:sz w:val="24"/>
          <w:szCs w:val="24"/>
          <w:vertAlign w:val="superscript"/>
          <w:lang w:val="es-ES" w:eastAsia="es-ES"/>
        </w:rPr>
        <w:footnoteReference w:id="101"/>
      </w:r>
      <w:r w:rsidRPr="00186518">
        <w:rPr>
          <w:rFonts w:ascii="Verdana" w:eastAsia="Times New Roman" w:hAnsi="Verdana" w:cs="Arial"/>
          <w:sz w:val="24"/>
          <w:szCs w:val="24"/>
          <w:lang w:val="es-ES" w:eastAsia="es-ES"/>
        </w:rPr>
        <w:t xml:space="preserve">. No se trata de demostrar, sino de argumentar y dar razones a partir de posiciones determinadas. </w:t>
      </w:r>
    </w:p>
    <w:p w14:paraId="42777881" w14:textId="73B36AD4"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También destaca Atienza el aporte de Perelman y su “nueva retórica”. Este filósofo del derecho, interesado por la lógica de la argumentación, </w:t>
      </w:r>
      <w:r w:rsidRPr="00186518">
        <w:rPr>
          <w:rFonts w:ascii="Verdana" w:eastAsia="Times New Roman" w:hAnsi="Verdana" w:cs="Arial"/>
          <w:sz w:val="24"/>
          <w:szCs w:val="24"/>
          <w:lang w:val="es-ES" w:eastAsia="es-ES"/>
        </w:rPr>
        <w:lastRenderedPageBreak/>
        <w:t>en su obra “La lógica jurídica y la nueva retórica”, parte de la idea que el análisis de los razonamientos que utilizan políticos, jueces o abogados tiene que ser el punto de partida para la creación de una teoría de la argumentación relacionada con el derecho</w:t>
      </w:r>
      <w:r w:rsidRPr="00186518">
        <w:rPr>
          <w:rFonts w:ascii="Verdana" w:eastAsia="Times New Roman" w:hAnsi="Verdana" w:cs="Arial"/>
          <w:sz w:val="24"/>
          <w:szCs w:val="24"/>
          <w:vertAlign w:val="superscript"/>
          <w:lang w:val="es-ES" w:eastAsia="es-ES"/>
        </w:rPr>
        <w:footnoteReference w:id="102"/>
      </w:r>
      <w:r w:rsidRPr="00186518">
        <w:rPr>
          <w:rFonts w:ascii="Verdana" w:eastAsia="Times New Roman" w:hAnsi="Verdana" w:cs="Arial"/>
          <w:sz w:val="24"/>
          <w:szCs w:val="24"/>
          <w:lang w:val="es-ES" w:eastAsia="es-ES"/>
        </w:rPr>
        <w:t>. Dichos argumentos no están determinados por la necesidad, sino que se mueven en el terreno de lo plausible o verosímil. Y remarca la noción de retórica a los fines de resaltar que en la misma cobra un gran papel el auditorio. En efecto, este razonamiento argumentativo tiene como finalidad convencer o persuadir a un auditorio determinado (por ejemplo</w:t>
      </w:r>
      <w:r w:rsidR="007352C7">
        <w:rPr>
          <w:rFonts w:ascii="Verdana" w:eastAsia="Times New Roman" w:hAnsi="Verdana" w:cs="Arial"/>
          <w:sz w:val="24"/>
          <w:szCs w:val="24"/>
          <w:lang w:val="es-ES" w:eastAsia="es-ES"/>
        </w:rPr>
        <w:t>,</w:t>
      </w:r>
      <w:r w:rsidRPr="00186518">
        <w:rPr>
          <w:rFonts w:ascii="Verdana" w:eastAsia="Times New Roman" w:hAnsi="Verdana" w:cs="Arial"/>
          <w:sz w:val="24"/>
          <w:szCs w:val="24"/>
          <w:lang w:val="es-ES" w:eastAsia="es-ES"/>
        </w:rPr>
        <w:t xml:space="preserve"> las partes de un proceso, o la comunidad en su conjunto). Y en este sentido en el proceso dialéctico de la retórica varias partes intervienen constantemente, por lo que se opone a la noción unipersonal de deducción. </w:t>
      </w:r>
    </w:p>
    <w:p w14:paraId="7C56C101" w14:textId="451629FF"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Conforme Perelman, hay tres partes en este encadenamiento: el discurso, el orador y el auditorio; y tres géneros, el deliberativo (propio de las asambleas), el judicial (el de los tribunales) y el epidíctico (teatral). Si el proceso retórico se dirige a un auditorio universal, lo que debe hacerse es convencer, mientras que</w:t>
      </w:r>
      <w:r w:rsidR="007352C7">
        <w:rPr>
          <w:rFonts w:ascii="Verdana" w:eastAsia="Times New Roman" w:hAnsi="Verdana" w:cs="Arial"/>
          <w:sz w:val="24"/>
          <w:szCs w:val="24"/>
          <w:lang w:val="es-ES" w:eastAsia="es-ES"/>
        </w:rPr>
        <w:t>,</w:t>
      </w:r>
      <w:r w:rsidRPr="00186518">
        <w:rPr>
          <w:rFonts w:ascii="Verdana" w:eastAsia="Times New Roman" w:hAnsi="Verdana" w:cs="Arial"/>
          <w:sz w:val="24"/>
          <w:szCs w:val="24"/>
          <w:lang w:val="es-ES" w:eastAsia="es-ES"/>
        </w:rPr>
        <w:t xml:space="preserve"> si se dirige a un auditorio particular, lo que debe procurarse es persuadir. </w:t>
      </w:r>
    </w:p>
    <w:p w14:paraId="273742E5"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Otro autor relevante que señala Atienza es el británico Toulmin. Este autor se desarrolla el concepto de “lógica informal”, y su intención es trascender el modelo clásico que pretende hacer de la lógica una ciencia formal y desplazar el centro de atención de la teoría de la lógica a la práctica de la lógica. Y su modelo es la jurisprudencia, lo que lo lleva a plantear un modelo no formal de argumentación.</w:t>
      </w:r>
      <w:r w:rsidRPr="00186518">
        <w:rPr>
          <w:rFonts w:ascii="Verdana" w:eastAsia="Times New Roman" w:hAnsi="Verdana" w:cs="Arial"/>
          <w:sz w:val="24"/>
          <w:szCs w:val="24"/>
          <w:vertAlign w:val="superscript"/>
          <w:lang w:val="es-ES" w:eastAsia="es-ES"/>
        </w:rPr>
        <w:footnoteReference w:id="103"/>
      </w:r>
    </w:p>
    <w:p w14:paraId="0E0E04AA"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También el autor describe el pensamiento de Robert Alexy</w:t>
      </w:r>
      <w:r w:rsidRPr="00186518">
        <w:rPr>
          <w:rFonts w:ascii="Verdana" w:eastAsia="Times New Roman" w:hAnsi="Verdana" w:cs="Arial"/>
          <w:sz w:val="24"/>
          <w:szCs w:val="24"/>
          <w:vertAlign w:val="superscript"/>
          <w:lang w:val="es-ES" w:eastAsia="es-ES"/>
        </w:rPr>
        <w:footnoteReference w:id="104"/>
      </w:r>
      <w:r w:rsidRPr="00186518">
        <w:rPr>
          <w:rFonts w:ascii="Verdana" w:eastAsia="Times New Roman" w:hAnsi="Verdana" w:cs="Arial"/>
          <w:sz w:val="24"/>
          <w:szCs w:val="24"/>
          <w:lang w:val="es-ES" w:eastAsia="es-ES"/>
        </w:rPr>
        <w:t xml:space="preserve">. Conforme este jurista alemán, el discurso argumentativo jurídico es una especie </w:t>
      </w:r>
      <w:r w:rsidRPr="00186518">
        <w:rPr>
          <w:rFonts w:ascii="Verdana" w:eastAsia="Times New Roman" w:hAnsi="Verdana" w:cs="Arial"/>
          <w:sz w:val="24"/>
          <w:szCs w:val="24"/>
          <w:lang w:val="es-ES" w:eastAsia="es-ES"/>
        </w:rPr>
        <w:lastRenderedPageBreak/>
        <w:t xml:space="preserve">del discurso práctico general, el discurso moral. Su teoría es eminentemente procedimental. Las reglas que elabora se aplican no solamente para las proposiciones que se sostienen, sino que también alcanzan al comportamiento de los hablantes. </w:t>
      </w:r>
    </w:p>
    <w:p w14:paraId="4AD5AD72"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Para Alexy, el discurso práctico posee reglas fundamentales (como por ejemplo no contradecirse), reglas de la razón (como la obligación de todo hablante de justificar sus dichos) y de carga de argumentación (como la que prescribe que quien ataca una proposición o norma debe dar razones para ello). </w:t>
      </w:r>
    </w:p>
    <w:p w14:paraId="026BD765" w14:textId="7E55F386"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Asimismo</w:t>
      </w:r>
      <w:r w:rsidR="007352C7">
        <w:rPr>
          <w:rFonts w:ascii="Verdana" w:eastAsia="Times New Roman" w:hAnsi="Verdana" w:cs="Arial"/>
          <w:sz w:val="24"/>
          <w:szCs w:val="24"/>
          <w:lang w:val="es-ES" w:eastAsia="es-ES"/>
        </w:rPr>
        <w:t>,</w:t>
      </w:r>
      <w:r w:rsidRPr="00186518">
        <w:rPr>
          <w:rFonts w:ascii="Verdana" w:eastAsia="Times New Roman" w:hAnsi="Verdana" w:cs="Arial"/>
          <w:sz w:val="24"/>
          <w:szCs w:val="24"/>
          <w:lang w:val="es-ES" w:eastAsia="es-ES"/>
        </w:rPr>
        <w:t xml:space="preserve"> hay reglas de fundamentación que señalan cómo deben llevarse a cabo este discurso práctico. Alexy advierte, conforme Manuel Atienza, que muchas veces el debate moral no puede conducir a acuerdos plenos. Y aquí es donde aparece el Derecho, el cual de alguna manera logra cerrar o terminar el debate a partir de la norma jurídica. La autoridad del Derecho se funda entonces principalmente en su dimensión normativa. Estamos ante una visión principalmente prescriptiva de la argumentación jurídica.  </w:t>
      </w:r>
    </w:p>
    <w:p w14:paraId="7E32DD28"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Finalmente es el propio Atienza quien señala cuáles deberían ser las funciones de una teoría de la argumentación jurídica</w:t>
      </w:r>
      <w:r w:rsidRPr="00186518">
        <w:rPr>
          <w:rFonts w:ascii="Verdana" w:eastAsia="Times New Roman" w:hAnsi="Verdana" w:cs="Arial"/>
          <w:sz w:val="24"/>
          <w:szCs w:val="24"/>
          <w:vertAlign w:val="superscript"/>
          <w:lang w:val="es-ES" w:eastAsia="es-ES"/>
        </w:rPr>
        <w:footnoteReference w:id="105"/>
      </w:r>
      <w:r w:rsidRPr="00186518">
        <w:rPr>
          <w:rFonts w:ascii="Verdana" w:eastAsia="Times New Roman" w:hAnsi="Verdana" w:cs="Arial"/>
          <w:sz w:val="24"/>
          <w:szCs w:val="24"/>
          <w:lang w:val="es-ES" w:eastAsia="es-ES"/>
        </w:rPr>
        <w:t xml:space="preserve">. Dichas funciones son tres. Una primera, de carácter teórico o cognoscitivo, que nos debe permitir entender el fenómeno jurídico y la forma de argumentar. Una segunda función, es la de ofrecer una orientación útil en las tareas de producir, interpretar y aplicar el derecho. Y una tercera función, relacionada con la posibilidad de permitir determinar qué ideología moral y política sirve de base a dicha argumentación jurídica. </w:t>
      </w:r>
    </w:p>
    <w:p w14:paraId="005B52D4"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Aquí se encuentra el desafío de los jueces en el siglo presente. Y esa argumentación debe darse en el contexto de la sociedad abierta interpretativa explicada por Häberle. Ya el juez no puede ser solamente </w:t>
      </w:r>
      <w:r w:rsidRPr="00186518">
        <w:rPr>
          <w:rFonts w:ascii="Verdana" w:eastAsia="Times New Roman" w:hAnsi="Verdana" w:cs="Arial"/>
          <w:sz w:val="24"/>
          <w:szCs w:val="24"/>
          <w:lang w:val="es-ES" w:eastAsia="es-ES"/>
        </w:rPr>
        <w:lastRenderedPageBreak/>
        <w:t xml:space="preserve">la “boca de la ley”, sino que debe encarar el desafío de expresarse y convencer a un amplio auditorio acerca del acierto de sus decisiones. Esto debe convertirse en una práctica dialógica racional imprescindible. </w:t>
      </w:r>
    </w:p>
    <w:p w14:paraId="4A854CD5"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Hoy en día la función judicial moderna debe recuperar su carácter dialéctico y, en tal sentido, la legitimación social de las decisiones judiciales reviste una trascendental importancia. Y para que ello sea posible, es necesario no solamente una adecuada justificación lógica “intrínseca” de la sentencia, sino además un discurso argumentativo destinado a convencer y persuadir a toda la sociedad por parte de los magistrados judiciales. </w:t>
      </w:r>
    </w:p>
    <w:p w14:paraId="76E15B99" w14:textId="3808E45F"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Desde luego que esto no implica descartar los métodos hermenéuticos tradicionales, sino comenzar a verlos como no como métodos lógico</w:t>
      </w:r>
      <w:r w:rsidR="00592BF4">
        <w:rPr>
          <w:rFonts w:ascii="Verdana" w:eastAsia="Times New Roman" w:hAnsi="Verdana" w:cs="Arial"/>
          <w:sz w:val="24"/>
          <w:szCs w:val="24"/>
          <w:lang w:val="es-ES" w:eastAsia="es-ES"/>
        </w:rPr>
        <w:t>-</w:t>
      </w:r>
      <w:r w:rsidR="007352C7">
        <w:rPr>
          <w:rFonts w:ascii="Verdana" w:eastAsia="Times New Roman" w:hAnsi="Verdana" w:cs="Arial"/>
          <w:sz w:val="24"/>
          <w:szCs w:val="24"/>
          <w:lang w:val="es-ES" w:eastAsia="es-ES"/>
        </w:rPr>
        <w:t xml:space="preserve"> </w:t>
      </w:r>
      <w:r w:rsidRPr="00186518">
        <w:rPr>
          <w:rFonts w:ascii="Verdana" w:eastAsia="Times New Roman" w:hAnsi="Verdana" w:cs="Arial"/>
          <w:sz w:val="24"/>
          <w:szCs w:val="24"/>
          <w:lang w:val="es-ES" w:eastAsia="es-ES"/>
        </w:rPr>
        <w:t>deductivos sino como argumentos lógico</w:t>
      </w:r>
      <w:r w:rsidR="00592BF4">
        <w:rPr>
          <w:rFonts w:ascii="Verdana" w:eastAsia="Times New Roman" w:hAnsi="Verdana" w:cs="Arial"/>
          <w:sz w:val="24"/>
          <w:szCs w:val="24"/>
          <w:lang w:val="es-ES" w:eastAsia="es-ES"/>
        </w:rPr>
        <w:t>-</w:t>
      </w:r>
      <w:r w:rsidRPr="00186518">
        <w:rPr>
          <w:rFonts w:ascii="Verdana" w:eastAsia="Times New Roman" w:hAnsi="Verdana" w:cs="Arial"/>
          <w:sz w:val="24"/>
          <w:szCs w:val="24"/>
          <w:lang w:val="es-ES" w:eastAsia="es-ES"/>
        </w:rPr>
        <w:t xml:space="preserve">persuasivos. Y en función de estos criterios debemos considerar a los jueces en el presente siglo como actores fundamentales de la democracia. Y la ciudadanía espera que estén a la altura de las circunstancias. Veremos a continuación un modelo posible de interpretación para el siglo XXI. </w:t>
      </w:r>
    </w:p>
    <w:p w14:paraId="3E83EB1A"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En este orden de ideas, Olsen Ghirardi remarca la noción de que el proceso judicial, si bien se rige por las reglas de la lógica, está estructurado dialógicamente: “El razonamiento judicial se da en un proceso o con motivo de un proceso. Esta característica tiene una consecuencia: la estructura del proceso lo afecta y lo condiciona. Para ser más preciso, lo “embreta”, porque lo enmarcan, principalmente, las reglas que dirigen el proceso. </w:t>
      </w:r>
    </w:p>
    <w:p w14:paraId="65DF1B49"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Por eso, para comprender con hondura cómo razonamos, es menester considerar dónde razonamos y en qué circunstancia.”</w:t>
      </w:r>
      <w:r w:rsidRPr="00186518">
        <w:rPr>
          <w:rFonts w:ascii="Verdana" w:eastAsia="Times New Roman" w:hAnsi="Verdana" w:cs="Arial"/>
          <w:sz w:val="24"/>
          <w:szCs w:val="24"/>
          <w:vertAlign w:val="superscript"/>
          <w:lang w:val="es-ES" w:eastAsia="es-ES"/>
        </w:rPr>
        <w:footnoteReference w:id="106"/>
      </w:r>
      <w:r w:rsidRPr="00186518">
        <w:rPr>
          <w:rFonts w:ascii="Verdana" w:eastAsia="Times New Roman" w:hAnsi="Verdana" w:cs="Arial"/>
          <w:sz w:val="24"/>
          <w:szCs w:val="24"/>
          <w:lang w:val="es-ES" w:eastAsia="es-ES"/>
        </w:rPr>
        <w:t xml:space="preserve"> Seguidamente, el autor sintetiza la estructura dialógica del proceso sosteniendo que nos </w:t>
      </w:r>
      <w:r w:rsidRPr="00186518">
        <w:rPr>
          <w:rFonts w:ascii="Verdana" w:eastAsia="Times New Roman" w:hAnsi="Verdana" w:cs="Arial"/>
          <w:sz w:val="24"/>
          <w:szCs w:val="24"/>
          <w:lang w:val="es-ES" w:eastAsia="es-ES"/>
        </w:rPr>
        <w:lastRenderedPageBreak/>
        <w:t>encontramos ante un conflicto entre dos partes, dirigido por un juez, que se encuentra regulado por normas adjetivas y ante la presencia de un auditorio que lo valora y, en cierto sentido lo controla. Finalmente, el proceso concluye con una decisión.</w:t>
      </w:r>
      <w:r w:rsidRPr="00186518">
        <w:rPr>
          <w:rFonts w:ascii="Verdana" w:eastAsia="Times New Roman" w:hAnsi="Verdana" w:cs="Arial"/>
          <w:sz w:val="24"/>
          <w:szCs w:val="24"/>
          <w:vertAlign w:val="superscript"/>
          <w:lang w:val="es-ES" w:eastAsia="es-ES"/>
        </w:rPr>
        <w:footnoteReference w:id="107"/>
      </w:r>
    </w:p>
    <w:p w14:paraId="3B26AD5D" w14:textId="16023B58"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Prosiguiendo con la estructura de la argumentación, conforme Vigo</w:t>
      </w:r>
      <w:r w:rsidRPr="00186518">
        <w:rPr>
          <w:rFonts w:ascii="Verdana" w:eastAsia="Times New Roman" w:hAnsi="Verdana" w:cs="Arial"/>
          <w:sz w:val="24"/>
          <w:szCs w:val="24"/>
          <w:vertAlign w:val="superscript"/>
          <w:lang w:val="es-ES" w:eastAsia="es-ES"/>
        </w:rPr>
        <w:footnoteReference w:id="108"/>
      </w:r>
      <w:r w:rsidRPr="00186518">
        <w:rPr>
          <w:rFonts w:ascii="Verdana" w:eastAsia="Times New Roman" w:hAnsi="Verdana" w:cs="Arial"/>
          <w:sz w:val="24"/>
          <w:szCs w:val="24"/>
          <w:lang w:val="es-ES" w:eastAsia="es-ES"/>
        </w:rPr>
        <w:t xml:space="preserve"> la misma tiene una doble dimensión justificativa. La primera es la interna, que tiene que ver con la conexión lógico formal entre los diferentes enunciados. Y la segunda es la externa, que son los argumentos o razones justificatorias de las premisas enunciadas. Estas últimas pueden evaluarse conforme su calidad o valor persuasivo, muchas veces denominado “peso” de los argumentos. </w:t>
      </w:r>
    </w:p>
    <w:p w14:paraId="55D5AD90"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Esta estructura nos va a ubicar al conocimiento jurídico como un saber práctico, que va a requerir del magistrado una dimensión moral, ya que en el Estado Constitucional de Derecho y frente a opciones divergentes debe buscarse la mejor solución posible. El Derecho no podrá divorciarse de la Ética. </w:t>
      </w:r>
    </w:p>
    <w:p w14:paraId="017052EB"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Y también implica una dimensión política del argumentador, producto del carácter moral de sus sentencias. Un ejemplo de este rol político, entendido obviamente como política arquitectónica y no como política partidaria, está dado por el control de constitucionalidad, que tiene dimensiones o aristas jurídicas, y también político institucionales. </w:t>
      </w:r>
    </w:p>
    <w:p w14:paraId="4D29C089"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Esto lleva a sostener a Vigo, siguiendo a Alexy, que en la sociedad actual los jueces adquieren frente a la comunidad una representatividad argumentativa siempre y cuando sus decisiones sean compartidas por los ciudadanos en una comunidad de diálogo racional y con conciencia constitucional. Esto implicaría el marco de la legitimidad de ejercicio de los magistrados judiciales. Y obviamente no está exento de tensiones, </w:t>
      </w:r>
      <w:r w:rsidRPr="00186518">
        <w:rPr>
          <w:rFonts w:ascii="Verdana" w:eastAsia="Times New Roman" w:hAnsi="Verdana" w:cs="Arial"/>
          <w:sz w:val="24"/>
          <w:szCs w:val="24"/>
          <w:lang w:val="es-ES" w:eastAsia="es-ES"/>
        </w:rPr>
        <w:lastRenderedPageBreak/>
        <w:t xml:space="preserve">ya que obliga simultáneamente a los jueces a realizarlo y a la vez no salirse del perímetro de sus competencias. </w:t>
      </w:r>
    </w:p>
    <w:p w14:paraId="55CC2654" w14:textId="6BBF0361"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Finalmente, otro aspecto esencial del tema es el enclave constitucional de la argumentación. Para Vigo, el modelo interpretativo clásico decimonónico se encuentra básicamente anclado en el derecho civil, mientras que, por el contrario, el modelo argumentativo, propio del Estado Constitucional de Derecho, se encuentra basado en la jurisprudencia constitucional y </w:t>
      </w:r>
      <w:r w:rsidR="007352C7">
        <w:rPr>
          <w:rFonts w:ascii="Verdana" w:eastAsia="Times New Roman" w:hAnsi="Verdana" w:cs="Arial"/>
          <w:sz w:val="24"/>
          <w:szCs w:val="24"/>
          <w:lang w:val="es-ES" w:eastAsia="es-ES"/>
        </w:rPr>
        <w:t xml:space="preserve">en </w:t>
      </w:r>
      <w:r w:rsidRPr="00186518">
        <w:rPr>
          <w:rFonts w:ascii="Verdana" w:eastAsia="Times New Roman" w:hAnsi="Verdana" w:cs="Arial"/>
          <w:sz w:val="24"/>
          <w:szCs w:val="24"/>
          <w:lang w:val="es-ES" w:eastAsia="es-ES"/>
        </w:rPr>
        <w:t xml:space="preserve">los principios constitucionales. En efecto, todo el derecho es interpretado a partir o “desde” la Constitución. </w:t>
      </w:r>
    </w:p>
    <w:p w14:paraId="13E752AA" w14:textId="6EAB4D32"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Cabe pensar que, más allá de lo dicho, hay una relación de continuidad subterránea entre los conceptos de interpretación y argumentación. Las diferencias, a mi entender, radican principalmente en tres cuestiones: a) el rol que se asigna a la ley, b) el rol que se asigna a la Constitución y c) el papel de los jueces. En el modelo de la interpretación de la ley, la norma legal es el centro de la actividad hermenéutica, su principal objeto. La Constitución es relevante, pero el ejercicio del control de constitucionalidad (y por ende una hermenéutica) es prudente y deferente hacia las decisiones del legislador –o directamente la Constitución es considerada más Carta política que norma jurídica, como en Europa en el siglo XIX-. </w:t>
      </w:r>
    </w:p>
    <w:p w14:paraId="2C5AF7AF"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Y los jueces tienen un papel de interpretación moderado, ya que, si bien no son la “boca que pronuncia las palabras de la ley”, como diría Montesquieu, el centro de su actividad se circunscribe a desentrañar el significado de la legislación para aplicarla a casos concretos. </w:t>
      </w:r>
    </w:p>
    <w:p w14:paraId="38DCC9B2"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Por el contrario, el modelo de la argumentación jurídica le asigna un rol no tan preponderante a la ley, le otorga un papel trascendente a la Constitución y a los principios constitucionales y, por consiguiente, revitaliza y pone en el centro de la actividad jurídica el rol de los jueces, </w:t>
      </w:r>
      <w:r w:rsidRPr="00186518">
        <w:rPr>
          <w:rFonts w:ascii="Verdana" w:eastAsia="Times New Roman" w:hAnsi="Verdana" w:cs="Arial"/>
          <w:sz w:val="24"/>
          <w:szCs w:val="24"/>
          <w:lang w:val="es-ES" w:eastAsia="es-ES"/>
        </w:rPr>
        <w:lastRenderedPageBreak/>
        <w:t xml:space="preserve">lo que deriva en el ejercicio de un control de constitucionalidad (y por ende de una hermenéutica) muchas veces activista. </w:t>
      </w:r>
    </w:p>
    <w:p w14:paraId="09327255"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Pero la estructura del proceso hermenéutico y los recursos o herramientas interpretativas son similares en ambos modelos teóricos, por lo que pienso que más allá de los cambios hay continuidades subyacentes. </w:t>
      </w:r>
    </w:p>
    <w:p w14:paraId="6F58D0FC"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A pesar de ello, a los efectos del presente trabajo, se considerará que los métodos de interpretación se conforman a través la exposición de diferentes argumentos, como forma de relacionar ambos paradigmas. </w:t>
      </w:r>
    </w:p>
    <w:p w14:paraId="3D5656E6" w14:textId="77777777" w:rsidR="00186518" w:rsidRPr="00186518" w:rsidRDefault="00186518" w:rsidP="00AE689A">
      <w:pPr>
        <w:spacing w:after="0" w:line="360" w:lineRule="auto"/>
        <w:rPr>
          <w:rFonts w:ascii="Verdana" w:eastAsia="Times New Roman" w:hAnsi="Verdana" w:cs="Arial"/>
          <w:sz w:val="24"/>
          <w:szCs w:val="24"/>
          <w:lang w:val="es-ES" w:eastAsia="es-ES"/>
        </w:rPr>
      </w:pPr>
    </w:p>
    <w:p w14:paraId="34507911" w14:textId="79994E3D" w:rsidR="00186518" w:rsidRDefault="00186518" w:rsidP="00AE689A">
      <w:pPr>
        <w:spacing w:after="0" w:line="360" w:lineRule="auto"/>
        <w:rPr>
          <w:rFonts w:ascii="Verdana" w:eastAsia="Times New Roman" w:hAnsi="Verdana" w:cs="Arial"/>
          <w:b/>
          <w:bCs/>
          <w:sz w:val="24"/>
          <w:szCs w:val="24"/>
          <w:lang w:val="es-ES" w:eastAsia="es-ES"/>
        </w:rPr>
      </w:pPr>
      <w:r w:rsidRPr="00900EE5">
        <w:rPr>
          <w:rFonts w:ascii="Verdana" w:eastAsia="Times New Roman" w:hAnsi="Verdana" w:cs="Arial"/>
          <w:b/>
          <w:bCs/>
          <w:sz w:val="24"/>
          <w:szCs w:val="24"/>
          <w:lang w:val="es-ES" w:eastAsia="es-ES"/>
        </w:rPr>
        <w:t>Distintos argumentos que justifican la decisión judicial</w:t>
      </w:r>
    </w:p>
    <w:p w14:paraId="095B8648" w14:textId="77777777" w:rsidR="00E84057" w:rsidRPr="00900EE5" w:rsidRDefault="00E84057" w:rsidP="00AE689A">
      <w:pPr>
        <w:spacing w:after="0" w:line="360" w:lineRule="auto"/>
        <w:rPr>
          <w:rFonts w:ascii="Verdana" w:eastAsia="Times New Roman" w:hAnsi="Verdana" w:cs="Arial"/>
          <w:b/>
          <w:bCs/>
          <w:sz w:val="24"/>
          <w:szCs w:val="24"/>
          <w:lang w:val="es-ES" w:eastAsia="es-ES"/>
        </w:rPr>
      </w:pPr>
    </w:p>
    <w:p w14:paraId="0E414DE8" w14:textId="173B1F0C"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Conforme la teoría de la argumentación, que parte de la inexistencia de la sinonimia entre el derecho y la ley, puede hacerse una relectura de los diferentes métodos interpretativos</w:t>
      </w:r>
      <w:r w:rsidRPr="00186518">
        <w:rPr>
          <w:rFonts w:ascii="Verdana" w:eastAsia="Times New Roman" w:hAnsi="Verdana" w:cs="Arial"/>
          <w:sz w:val="24"/>
          <w:szCs w:val="24"/>
          <w:vertAlign w:val="superscript"/>
          <w:lang w:val="es-ES" w:eastAsia="es-ES"/>
        </w:rPr>
        <w:footnoteReference w:id="109"/>
      </w:r>
      <w:r w:rsidRPr="00186518">
        <w:rPr>
          <w:rFonts w:ascii="Verdana" w:eastAsia="Times New Roman" w:hAnsi="Verdana" w:cs="Arial"/>
          <w:sz w:val="24"/>
          <w:szCs w:val="24"/>
          <w:lang w:val="es-ES" w:eastAsia="es-ES"/>
        </w:rPr>
        <w:t xml:space="preserve">. Diversos autores, como Wróblewski, Aarnio, Alexy, etc., identifican en las sentencias una doble justificación. La primera se denomina “interna”, y tiene que ver con la estructura lógica o de razonamiento que conecta las diferentes premisas de la decisión judicial. La segunda justificación se denomina “externa” y está centrada en los argumentos o razones usados para persuadir de la verosimilitud de los razonamientos realizados. </w:t>
      </w:r>
    </w:p>
    <w:p w14:paraId="7A5670C1"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En esta segunda dimensión es que se abre la puerta a la retórica, en el sentido de arte de la persuasión. Para Rodolfo Vigo lo que se le pide al jurista hoy es no solamente que conozca el derecho, sino que lo sepa “decir” (postular, enseñar, asesorar o decir autoritativamente), a través de razonamientos en donde las premisas cuenten con los argumentos o razones que los justifiquen.</w:t>
      </w:r>
      <w:r w:rsidRPr="00186518">
        <w:rPr>
          <w:rFonts w:ascii="Verdana" w:eastAsia="Times New Roman" w:hAnsi="Verdana" w:cs="Arial"/>
          <w:sz w:val="24"/>
          <w:szCs w:val="24"/>
          <w:vertAlign w:val="superscript"/>
          <w:lang w:val="es-ES" w:eastAsia="es-ES"/>
        </w:rPr>
        <w:footnoteReference w:id="110"/>
      </w:r>
    </w:p>
    <w:p w14:paraId="61309426" w14:textId="5222CD40"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lastRenderedPageBreak/>
        <w:t>Existen muchas clasificaciones y enunciaciones de argumentos forenses. Casi todas son muy similares. Muchos de ellos son en realidad los denominados métodos o enfoques interpretativos pero vistos desde este nuevo paradigma. Entre ellos tenemos los siguientes:</w:t>
      </w:r>
    </w:p>
    <w:p w14:paraId="1FB04F59"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a) Autoritativo o normativo: Consiste en la sola mención de la norma que se va a aplicar, o en la apelación a la autoridad de aquel que la sancionó o estableció. </w:t>
      </w:r>
    </w:p>
    <w:p w14:paraId="49E0BF21"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b) Principialista: Partiendo de la distinción que existe entre principios y reglas en un ordenamiento jurídico, expuesta por autores como Dworkin y Alexy, este tipo de argumentos justifica una decisión en función o apelando, justamente, a los principios. </w:t>
      </w:r>
    </w:p>
    <w:p w14:paraId="4E113EDD"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c) Axiológico o moral: Tienen que ver con aquellas razones metanormativas, valorativas, que pueden brindarse.</w:t>
      </w:r>
    </w:p>
    <w:p w14:paraId="06A57104"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d) Consecuencialista: Se basa precisamente en justificar un razonamiento en función de las consecuencias –jurídicas, económicas, políticas, sociales, etc.- que pueden desprenderse del mismo. </w:t>
      </w:r>
    </w:p>
    <w:p w14:paraId="13ED59EF"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 Genético: Es el tipo de argumentos que se relacionan con el origen de una norma que va a aplicarse. Esto tiene una indudable relación con el método originalista o histórico. </w:t>
      </w:r>
    </w:p>
    <w:p w14:paraId="139FD123"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f) Lingüístico: Son los argumentos que se basan en el significado o sentido de las palabras. Se relacionan con la interpretación gramatical y con la semántica.</w:t>
      </w:r>
    </w:p>
    <w:p w14:paraId="7526DEBD"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g) Doctrinario: Aparece cuando se apela a la autoridad de los juristas que brindad una opinión que justifica el razonamiento judicial realizado. </w:t>
      </w:r>
    </w:p>
    <w:p w14:paraId="6F3BED3F"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h) Jurisprudencial: Es una variante del argumento de autoridad, pero en este caso posee un especial valor institucional. Podríamos decir que posee una capacidad de justificación mayor a la de la doctrina. </w:t>
      </w:r>
    </w:p>
    <w:p w14:paraId="69097C00"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i) Lógicos: En la medida en la cual la lógica es la ciencia y el arte del razonar, su presencia es imprescindible en una sentencia. Muchas veces, </w:t>
      </w:r>
      <w:r w:rsidRPr="00186518">
        <w:rPr>
          <w:rFonts w:ascii="Verdana" w:eastAsia="Times New Roman" w:hAnsi="Verdana" w:cs="Arial"/>
          <w:sz w:val="24"/>
          <w:szCs w:val="24"/>
          <w:lang w:val="es-ES" w:eastAsia="es-ES"/>
        </w:rPr>
        <w:lastRenderedPageBreak/>
        <w:t>señala Vigo, suele utilizarse en sentido negativo, vale decir para descalificar un discurso que no ha respetado las reglas de la lógica.</w:t>
      </w:r>
      <w:r w:rsidRPr="00186518">
        <w:rPr>
          <w:rFonts w:ascii="Verdana" w:eastAsia="Times New Roman" w:hAnsi="Verdana" w:cs="Arial"/>
          <w:sz w:val="24"/>
          <w:szCs w:val="24"/>
          <w:vertAlign w:val="superscript"/>
          <w:lang w:val="es-ES" w:eastAsia="es-ES"/>
        </w:rPr>
        <w:footnoteReference w:id="111"/>
      </w:r>
    </w:p>
    <w:p w14:paraId="2BE6FE6B"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j) Analógicos: Este argumento refiere a la relación de similitud o semejanza entre la solución que debe justificarse en el caso bajo examen y alguna otra que ya haya sido resuelta de una forma que podría aplicarse a la primera. </w:t>
      </w:r>
    </w:p>
    <w:p w14:paraId="57BB105B" w14:textId="7EFE3CD4"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k) A fortiori: Se utiliza este argumento para apelar a que</w:t>
      </w:r>
      <w:r w:rsidR="00F602B8">
        <w:rPr>
          <w:rFonts w:ascii="Verdana" w:eastAsia="Times New Roman" w:hAnsi="Verdana" w:cs="Arial"/>
          <w:sz w:val="24"/>
          <w:szCs w:val="24"/>
          <w:lang w:val="es-ES" w:eastAsia="es-ES"/>
        </w:rPr>
        <w:t>,</w:t>
      </w:r>
      <w:r w:rsidRPr="00186518">
        <w:rPr>
          <w:rFonts w:ascii="Verdana" w:eastAsia="Times New Roman" w:hAnsi="Verdana" w:cs="Arial"/>
          <w:sz w:val="24"/>
          <w:szCs w:val="24"/>
          <w:lang w:val="es-ES" w:eastAsia="es-ES"/>
        </w:rPr>
        <w:t xml:space="preserve"> si una solución jurídica resulta aplicable a un caso, “con más razón” debe aplicarse al caso bajo examen, ya que esta última situación es menos grave o puede quedar subsumida en la primera. </w:t>
      </w:r>
    </w:p>
    <w:p w14:paraId="3E6F69D2"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l) Apagógicos: Se utilizan para descartar por absurdos, disvaliosos, ineficaces o imposibles alternativas de resolución de un caso, a los efectos de descartarlos. Presuponen que el derecho siempre es razonable. Tiene que ver con la reducción al absurdo. </w:t>
      </w:r>
    </w:p>
    <w:p w14:paraId="533B734E"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ll) A contrario: Se aplica a los efectos de impedir que se aplique una determinada solución jurídica al caso bajo examen, demostrando que dicha alternativa no puede extenderse por ser la cuestión de una naturaleza diferente. </w:t>
      </w:r>
    </w:p>
    <w:p w14:paraId="2AC36542"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m) Sistemáticos y coherentes: Se basan en la idea de coherencia y plenitud del ordenamiento jurídico. Obviamente tienen una gran relación con el método de interpretación sistemático. </w:t>
      </w:r>
    </w:p>
    <w:p w14:paraId="25105A5D"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n) Jerarquía: De indudable relevancia en el Derecho Constitucional, tiene que ver con aquellos argumentos que se basan en la prevalencia de una norma aplicable por sobre otra en virtud de la distinta posición en un orden jurídico. Tiene una indudable presencia permanente en el ejercicio del control de constitucionalidad. </w:t>
      </w:r>
    </w:p>
    <w:p w14:paraId="7F675CE6"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lastRenderedPageBreak/>
        <w:t>ñ) Económicos: En realidad se refiere a que un orden jurídico siempre debe ser racional, y por ende en el mismo no puede haber contradicciones o redundancias.</w:t>
      </w:r>
    </w:p>
    <w:p w14:paraId="3B63EFD2"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o) Teleológicos: Apuntan, al igual que el método interpretativo ya explicado, a la justificación de una solución jurídica a partir de la finalidad intrínseca buscada por alguna norma jurídica. </w:t>
      </w:r>
    </w:p>
    <w:p w14:paraId="03F42655"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p) Sociológicos: Remiten a las razones que se dan para justificar un razonamiento judicial en función de la realidad social imperante. Puede vinculárselos a la interpretación dinámica o progresista. </w:t>
      </w:r>
    </w:p>
    <w:p w14:paraId="486F3297"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q) Comparativos: Son argumentos que se basan en citar el Derecho Comparado, a los fines de aplicarlo a una solución local. Muchas veces la Corte Suprema de Justicia de nuestro país, sobre todo en sus primeras composiciones, citaba soluciones elaboradas por la doctrina y la jurisprudencia norteamericana, por ejemplo. Se lo puede relacionar con los argumentos Jurisprudenciales si se citan sentencias extranjeras. </w:t>
      </w:r>
    </w:p>
    <w:p w14:paraId="6CF4AF08"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r) Históricos: Son aquellos que se esgrimen cuando se intenta justificar una decisión o solución jurídica apelando a la historia de las normas relacionadas o a la misma historia social o política. Indudablemente se relaciona con el método de interpretación histórico. </w:t>
      </w:r>
    </w:p>
    <w:p w14:paraId="01EBC07E"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s) Pragmáticos: Se conectan con la tesis de que el legislador siempre es racional y que por consiguiente no pude hacer regulaciones inútiles o ineficaces. Desde luego tiene su conexión con el método pragmático de interpretación. </w:t>
      </w:r>
    </w:p>
    <w:p w14:paraId="4C445B8B" w14:textId="1C28EB71"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El filósofo del derecho Enrique Marí, en una interesante observación, sostiene de qué modo los juristas utilizan los recursos interpretativos –muchos de cuyos ejemplos acabamos de reseñar-, al indicar que: “Tanto en el caso de estos y otros recursos interpretativos (como los argumentos a simili, a contrario sensu, a fortiori, etc.) los juristas no son estrictamente consecuentes en su uso, soliendo cambiar su preferencias por uno u otro, de acuerdo con el mayor grado de </w:t>
      </w:r>
      <w:r w:rsidRPr="00186518">
        <w:rPr>
          <w:rFonts w:ascii="Verdana" w:eastAsia="Times New Roman" w:hAnsi="Verdana" w:cs="Arial"/>
          <w:sz w:val="24"/>
          <w:szCs w:val="24"/>
          <w:lang w:val="es-ES" w:eastAsia="es-ES"/>
        </w:rPr>
        <w:lastRenderedPageBreak/>
        <w:t>persuasión que les atribuyen al enlazarlos, circunstancialmente, con las características de la situación jurídica que consideran.”</w:t>
      </w:r>
      <w:r w:rsidRPr="00186518">
        <w:rPr>
          <w:rFonts w:ascii="Verdana" w:eastAsia="Times New Roman" w:hAnsi="Verdana" w:cs="Arial"/>
          <w:sz w:val="24"/>
          <w:szCs w:val="24"/>
          <w:vertAlign w:val="superscript"/>
          <w:lang w:val="es-ES" w:eastAsia="es-ES"/>
        </w:rPr>
        <w:footnoteReference w:id="112"/>
      </w:r>
      <w:r w:rsidRPr="00186518">
        <w:rPr>
          <w:rFonts w:ascii="Verdana" w:eastAsia="Times New Roman" w:hAnsi="Verdana" w:cs="Arial"/>
          <w:sz w:val="24"/>
          <w:szCs w:val="24"/>
          <w:lang w:val="es-ES" w:eastAsia="es-ES"/>
        </w:rPr>
        <w:t xml:space="preserve"> </w:t>
      </w:r>
    </w:p>
    <w:p w14:paraId="7578BF0F"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También, atinadamente, explica que ello no debe verse en forma disvaliosa o tendiente a pensar que el uso de los argumentos por parte de los juristas o jueces puede ser absolutamente discrecional. Lo que sucede es que la argumentación y sus recursos son técnicas utilizadas para la consecución de un fin (persuadir) y enmarcadas en un contexto. </w:t>
      </w:r>
    </w:p>
    <w:p w14:paraId="344691F2" w14:textId="68DD03B3"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En este sentido Enrique Marí señalaba que había que tener presente una franja más compleja y comprensiva que puede pensarse como estrategia argumentativa global. De esa estrategia los recursos son parte integrante. Amén de ello hay que tener en cuenta un amplio conjunto de factores que han sido objeto de extensos debates en la teoría del derecho. Por ejemplo</w:t>
      </w:r>
      <w:r w:rsidR="00E84057">
        <w:rPr>
          <w:rFonts w:ascii="Verdana" w:eastAsia="Times New Roman" w:hAnsi="Verdana" w:cs="Arial"/>
          <w:sz w:val="24"/>
          <w:szCs w:val="24"/>
          <w:lang w:val="es-ES" w:eastAsia="es-ES"/>
        </w:rPr>
        <w:t>,</w:t>
      </w:r>
      <w:r w:rsidRPr="00186518">
        <w:rPr>
          <w:rFonts w:ascii="Verdana" w:eastAsia="Times New Roman" w:hAnsi="Verdana" w:cs="Arial"/>
          <w:sz w:val="24"/>
          <w:szCs w:val="24"/>
          <w:lang w:val="es-ES" w:eastAsia="es-ES"/>
        </w:rPr>
        <w:t xml:space="preserve"> los antecedentes históricos de la legislación, los contextos políticos, económicos y sociales en los que se dictan las normas, los problemas lingüísticos en su formulación, el sistema de creencias y valores que influye en todo acto hermenéutico, y, además, la evolución de la sociedad, del Estado Moderno y las funciones de los sistemas judiciales.</w:t>
      </w:r>
      <w:r w:rsidRPr="00186518">
        <w:rPr>
          <w:rFonts w:ascii="Verdana" w:eastAsia="Times New Roman" w:hAnsi="Verdana" w:cs="Arial"/>
          <w:sz w:val="24"/>
          <w:szCs w:val="24"/>
          <w:vertAlign w:val="superscript"/>
          <w:lang w:val="es-ES" w:eastAsia="es-ES"/>
        </w:rPr>
        <w:footnoteReference w:id="113"/>
      </w:r>
    </w:p>
    <w:p w14:paraId="1259AF2F" w14:textId="56F062D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¿Existiría algún parámetro concreto para descartar argumentos incorrectos en el marco de la teoría de la argumentación? El tema es más que arduo, sobre todo en el caso de conflictos entre principios constitucionales, y los juristas y filósofos del derecho no se ponen de acuerdo sobre el mismo, sosteniendo diferentes posturas. Ricardo Lorenzetti remarca que un criterio concreto de pretensión de corrección de los argumentos y razonamientos judiciales lo constituye la doctrina judicial elaborada por nuestra Corte Suprema sobre las sentencias arbitrarias. </w:t>
      </w:r>
    </w:p>
    <w:p w14:paraId="15A24F61" w14:textId="5BD88A84"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lastRenderedPageBreak/>
        <w:t>En este sentido señala que la doctrina de la arbitrariedad de las sentencias avala esta posición. En efecto, por medio de la arbitrariedad se descalifican fallos cuando se basan, por ejemplo, en una fundamentación sólo aparente. Y, por lo tanto</w:t>
      </w:r>
      <w:r w:rsidR="00CE4E4B">
        <w:rPr>
          <w:rFonts w:ascii="Verdana" w:eastAsia="Times New Roman" w:hAnsi="Verdana" w:cs="Arial"/>
          <w:sz w:val="24"/>
          <w:szCs w:val="24"/>
          <w:lang w:val="es-ES" w:eastAsia="es-ES"/>
        </w:rPr>
        <w:t>,</w:t>
      </w:r>
      <w:r w:rsidRPr="00186518">
        <w:rPr>
          <w:rFonts w:ascii="Verdana" w:eastAsia="Times New Roman" w:hAnsi="Verdana" w:cs="Arial"/>
          <w:sz w:val="24"/>
          <w:szCs w:val="24"/>
          <w:lang w:val="es-ES" w:eastAsia="es-ES"/>
        </w:rPr>
        <w:t xml:space="preserve"> se trata, básicamente, en analizar si se han seguido o no criterios de corrección en el razonamiento jurídico.</w:t>
      </w:r>
      <w:r w:rsidRPr="00186518">
        <w:rPr>
          <w:rFonts w:ascii="Verdana" w:eastAsia="Times New Roman" w:hAnsi="Verdana" w:cs="Arial"/>
          <w:sz w:val="24"/>
          <w:szCs w:val="24"/>
          <w:vertAlign w:val="superscript"/>
          <w:lang w:val="es-ES" w:eastAsia="es-ES"/>
        </w:rPr>
        <w:footnoteReference w:id="114"/>
      </w:r>
      <w:r w:rsidRPr="00186518">
        <w:rPr>
          <w:rFonts w:ascii="Verdana" w:eastAsia="Times New Roman" w:hAnsi="Verdana" w:cs="Arial"/>
          <w:sz w:val="24"/>
          <w:szCs w:val="24"/>
          <w:lang w:val="es-ES" w:eastAsia="es-ES"/>
        </w:rPr>
        <w:t xml:space="preserve"> Por ende, independientemente de los criterios iusfilosóficos sobre el particular, podemos concluir que los razonamientos argumentativos incorrectos o inadecuados existen, y son corregidos por el mismo Poder Judicial a través de mecanismos recursivos como el mencionado. </w:t>
      </w:r>
    </w:p>
    <w:p w14:paraId="0ECC03A6"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Como puede advertirse a partir de las sintéticas definiciones brindadas, muchos de los argumentos clasificados coinciden con los métodos tradicionales de interpretación de la dogmática jurídica, mientras que los restantes parecerían no encuadrarse concretamente en ninguno de ellos. Pero en realidad siempre estuvieron presentes en mayor o menor medida. Ello es así en función de que, más allá de las importantes diferencias teóricas entre la teoría de la interpretación y la de la argumentación, existe una gran continuidad práctica entre ambos paradigmas, tal como lo he sostenido previamente. </w:t>
      </w:r>
    </w:p>
    <w:p w14:paraId="43B4AEC0" w14:textId="5F0CA799"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Por ello, insisto que, cuando se analicen los ejemplos jurisprudenciales, me permitiré hablar de métodos de interpretación y de argumentos, proponiendo que todo método o enfoque interpretativo que pueda apreciarse en una sentencia judicial se conforma a través de variados argumentos. </w:t>
      </w:r>
    </w:p>
    <w:p w14:paraId="05A0E57A"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Y la suma ordenada de esos argumentos esgrimidos conduce a una interpretación determinada de la norma y los hechos del caso. </w:t>
      </w:r>
    </w:p>
    <w:p w14:paraId="0890381D" w14:textId="77777777" w:rsidR="00186518" w:rsidRPr="00186518" w:rsidRDefault="00186518" w:rsidP="00AE689A">
      <w:pPr>
        <w:spacing w:after="0" w:line="360" w:lineRule="auto"/>
        <w:rPr>
          <w:rFonts w:ascii="Verdana" w:eastAsia="Times New Roman" w:hAnsi="Verdana" w:cs="Arial"/>
          <w:sz w:val="24"/>
          <w:szCs w:val="24"/>
          <w:lang w:val="es-ES" w:eastAsia="es-ES"/>
        </w:rPr>
      </w:pPr>
    </w:p>
    <w:p w14:paraId="1FC56C41" w14:textId="77777777" w:rsidR="00186518" w:rsidRPr="009E3B17" w:rsidRDefault="00186518" w:rsidP="00AE689A">
      <w:pPr>
        <w:spacing w:after="0" w:line="360" w:lineRule="auto"/>
        <w:rPr>
          <w:rFonts w:ascii="Verdana" w:eastAsia="Times New Roman" w:hAnsi="Verdana" w:cs="Arial"/>
          <w:b/>
          <w:bCs/>
          <w:sz w:val="24"/>
          <w:szCs w:val="24"/>
          <w:lang w:val="es-ES" w:eastAsia="es-ES"/>
        </w:rPr>
      </w:pPr>
      <w:r w:rsidRPr="009E3B17">
        <w:rPr>
          <w:rFonts w:ascii="Verdana" w:eastAsia="Times New Roman" w:hAnsi="Verdana" w:cs="Arial"/>
          <w:b/>
          <w:bCs/>
          <w:sz w:val="24"/>
          <w:szCs w:val="24"/>
          <w:lang w:val="es-ES" w:eastAsia="es-ES"/>
        </w:rPr>
        <w:lastRenderedPageBreak/>
        <w:t>4. REFLEXIONES ADICIONALES</w:t>
      </w:r>
    </w:p>
    <w:p w14:paraId="73D6CA88" w14:textId="77777777" w:rsidR="00186518" w:rsidRPr="00186518" w:rsidRDefault="00186518" w:rsidP="00AE689A">
      <w:pPr>
        <w:spacing w:after="0" w:line="360" w:lineRule="auto"/>
        <w:rPr>
          <w:rFonts w:ascii="Verdana" w:eastAsia="Times New Roman" w:hAnsi="Verdana" w:cs="Arial"/>
          <w:sz w:val="24"/>
          <w:szCs w:val="24"/>
          <w:lang w:val="es-ES" w:eastAsia="es-ES"/>
        </w:rPr>
      </w:pPr>
    </w:p>
    <w:p w14:paraId="1224CA35"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Otro aporte sobre el tema: la sociedad abierta de los intérpretes de la constitución</w:t>
      </w:r>
    </w:p>
    <w:p w14:paraId="286DFE0A" w14:textId="50AA7281"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Con esta denominación se conoce a la teoría hermenéutica del Profesor alemán Peter Häberle</w:t>
      </w:r>
      <w:r w:rsidRPr="00186518">
        <w:rPr>
          <w:rFonts w:ascii="Verdana" w:eastAsia="Times New Roman" w:hAnsi="Verdana" w:cs="Arial"/>
          <w:sz w:val="24"/>
          <w:szCs w:val="24"/>
          <w:vertAlign w:val="superscript"/>
          <w:lang w:val="es-ES" w:eastAsia="es-ES"/>
        </w:rPr>
        <w:footnoteReference w:id="115"/>
      </w:r>
      <w:r w:rsidRPr="00186518">
        <w:rPr>
          <w:rFonts w:ascii="Verdana" w:eastAsia="Times New Roman" w:hAnsi="Verdana" w:cs="Arial"/>
          <w:sz w:val="24"/>
          <w:szCs w:val="24"/>
          <w:lang w:val="es-ES" w:eastAsia="es-ES"/>
        </w:rPr>
        <w:t xml:space="preserve">. Dicho jurista sostiene que el tratamiento tradicional de la problemática de la interpretación se ha centrado fundamentalmente en lo relacionado con las funciones y los métodos interpretativos, descuidando el tema de la ubicación sistemática de los diversos participantes de </w:t>
      </w:r>
      <w:r w:rsidR="00203D68">
        <w:rPr>
          <w:rFonts w:ascii="Verdana" w:eastAsia="Times New Roman" w:hAnsi="Verdana" w:cs="Arial"/>
          <w:sz w:val="24"/>
          <w:szCs w:val="24"/>
          <w:lang w:val="es-ES" w:eastAsia="es-ES"/>
        </w:rPr>
        <w:t>esta</w:t>
      </w:r>
      <w:r w:rsidRPr="00186518">
        <w:rPr>
          <w:rFonts w:ascii="Verdana" w:eastAsia="Times New Roman" w:hAnsi="Verdana" w:cs="Arial"/>
          <w:sz w:val="24"/>
          <w:szCs w:val="24"/>
          <w:lang w:val="es-ES" w:eastAsia="es-ES"/>
        </w:rPr>
        <w:t xml:space="preserve">. La cuestión se centraba en la “sociedad cerrada” de los intérpretes jurídicos, en una estrecha visión que impide dar una respuesta completa a la relación entre la Constitución y la realidad. </w:t>
      </w:r>
    </w:p>
    <w:p w14:paraId="1EB7949C"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Para Häberle debe cambiarse este punto de vista y adoptarse otra posición, que implica concebir una interpretación “por” y “para” una sociedad abierta. Con tal finalidad, expone que en los procesos de interpretación constitucional están incluidos en potencia todos los órganos del Estado, todos los poderes públicos, todos los grupos y ciudadanos. No existe en esta cuestión un “numerus clausus”. </w:t>
      </w:r>
    </w:p>
    <w:p w14:paraId="03CCE963" w14:textId="1D77A843"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Debe señalarse que, según su pensamiento, todo aquel que “vive” una norma, la interpreta en forma directa o indirecta. Por ello hay que dejar claro que la concepción del jurista alemán de la idea de hermenéutica es distinta y más amplia que la de desentrañar el sentido o comprender una disposición. Conforme ello, los ciudadanos y los grupos activos son “fuerzas productivas de interpretación”, y los destinatarios de las normas participan siempre de su interpretación.  </w:t>
      </w:r>
    </w:p>
    <w:p w14:paraId="67221DBB"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lastRenderedPageBreak/>
        <w:t xml:space="preserve">Entre otros participantes del proceso hermenéutico Häberle distingue: a) los funcionarios estatales (jueces, legisladores, el ejecutivo en distintas formas),  b) los participantes no estatales (las partes del proceso, otros terceros que puedan intervenir en el mismo –como en nuestro caso el “amicus curiae” si es un tema de interés público, etc.), y c) el espacio público democrático pluralista (que no son participantes formalmente en un proceso, como por ejemplo los medios de comunicación masiva, los partidos políticos y grupos de interés en el marco de una sociedad plural). </w:t>
      </w:r>
    </w:p>
    <w:p w14:paraId="22DB7390" w14:textId="04E3426B"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Como puede advertirse, es una teoría diferente y novedosa, que enmarca al proceso hermenéutico dentro de las relaciones entre la Constitución y la realidad constitucional y concibe a la primera como un producto jurídico cultural. Y que, además, nos lleva a concluir que un proceso interpretativo amplio y completo solamente puede darse en el marco de una sociedad abierta, democrática y pluralista. </w:t>
      </w:r>
    </w:p>
    <w:p w14:paraId="57ED32FA" w14:textId="77777777" w:rsidR="00186518" w:rsidRPr="00186518" w:rsidRDefault="00186518" w:rsidP="00AE689A">
      <w:pPr>
        <w:spacing w:after="0" w:line="360" w:lineRule="auto"/>
        <w:rPr>
          <w:rFonts w:ascii="Verdana" w:eastAsia="Times New Roman" w:hAnsi="Verdana" w:cs="Arial"/>
          <w:sz w:val="24"/>
          <w:szCs w:val="24"/>
          <w:lang w:val="es-ES" w:eastAsia="es-ES"/>
        </w:rPr>
      </w:pPr>
    </w:p>
    <w:p w14:paraId="41C98E97" w14:textId="1ACE4DF0" w:rsidR="00186518" w:rsidRDefault="00186518" w:rsidP="00AE689A">
      <w:pPr>
        <w:spacing w:after="0" w:line="360" w:lineRule="auto"/>
        <w:rPr>
          <w:rFonts w:ascii="Verdana" w:eastAsia="Times New Roman" w:hAnsi="Verdana" w:cs="Arial"/>
          <w:b/>
          <w:bCs/>
          <w:sz w:val="24"/>
          <w:szCs w:val="24"/>
          <w:lang w:val="es-ES" w:eastAsia="es-ES"/>
        </w:rPr>
      </w:pPr>
      <w:r w:rsidRPr="00751712">
        <w:rPr>
          <w:rFonts w:ascii="Verdana" w:eastAsia="Times New Roman" w:hAnsi="Verdana" w:cs="Arial"/>
          <w:b/>
          <w:bCs/>
          <w:sz w:val="24"/>
          <w:szCs w:val="24"/>
          <w:lang w:val="es-ES" w:eastAsia="es-ES"/>
        </w:rPr>
        <w:t>Lo político y lo jurídico en la hermenéutica judicial</w:t>
      </w:r>
    </w:p>
    <w:p w14:paraId="7790B100" w14:textId="77777777" w:rsidR="000A0279" w:rsidRPr="00751712" w:rsidRDefault="000A0279" w:rsidP="00AE689A">
      <w:pPr>
        <w:spacing w:after="0" w:line="360" w:lineRule="auto"/>
        <w:rPr>
          <w:rFonts w:ascii="Verdana" w:eastAsia="Times New Roman" w:hAnsi="Verdana" w:cs="Arial"/>
          <w:b/>
          <w:bCs/>
          <w:sz w:val="24"/>
          <w:szCs w:val="24"/>
          <w:lang w:val="es-ES" w:eastAsia="es-ES"/>
        </w:rPr>
      </w:pPr>
    </w:p>
    <w:p w14:paraId="6C7014AA" w14:textId="2823AA4F"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Resulta evidente que hay una íntima relación entre el mundo político y el mundo jurídico en el ámbito de la interpretación que no puede desconocerse. En este sentido, Alfonso Santiago afirma que el dictado de una sentencia es un acto de naturaleza político-jurídica. Si bien allí el componente político es menor, no por eso desaparece por completo. Y, en este orden de ideas, detrás de las discusiones y posiciones acerca de la interpretación judicial, suele subyacer un debate acerca del rol institucional que se le quiere asignar a los jueces”.</w:t>
      </w:r>
      <w:r w:rsidRPr="00186518">
        <w:rPr>
          <w:rFonts w:ascii="Verdana" w:eastAsia="Times New Roman" w:hAnsi="Verdana" w:cs="Arial"/>
          <w:sz w:val="24"/>
          <w:szCs w:val="24"/>
          <w:vertAlign w:val="superscript"/>
          <w:lang w:val="es-ES" w:eastAsia="es-ES"/>
        </w:rPr>
        <w:footnoteReference w:id="116"/>
      </w:r>
      <w:r w:rsidRPr="00186518">
        <w:rPr>
          <w:rFonts w:ascii="Verdana" w:eastAsia="Times New Roman" w:hAnsi="Verdana" w:cs="Arial"/>
          <w:sz w:val="24"/>
          <w:szCs w:val="24"/>
          <w:lang w:val="es-ES" w:eastAsia="es-ES"/>
        </w:rPr>
        <w:t xml:space="preserve"> Conforme al autor, </w:t>
      </w:r>
      <w:r w:rsidRPr="00186518">
        <w:rPr>
          <w:rFonts w:ascii="Verdana" w:eastAsia="Times New Roman" w:hAnsi="Verdana" w:cs="Arial"/>
          <w:sz w:val="24"/>
          <w:szCs w:val="24"/>
          <w:lang w:val="es-ES" w:eastAsia="es-ES"/>
        </w:rPr>
        <w:lastRenderedPageBreak/>
        <w:t xml:space="preserve">la cuestión se relaciona con el arduo tema de definir el grado de autonomía y libertad que se le quiere asignar a los jueces. </w:t>
      </w:r>
    </w:p>
    <w:p w14:paraId="22D5A77C"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En este sentido, lo que puede apreciarse es que a lo largo del siglo XX se verifica por lo general una disminución de la discrecionalidad de los poderes políticos en su actuación, por un lado, y un progresivo aumento de la discrecionalidad de los jueces en el ejercicio de su función jurisdiccional. </w:t>
      </w:r>
    </w:p>
    <w:p w14:paraId="7986FEE9"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Conforme este criterio, podemos concluir que siempre existe una cierta dosis de “politicidad” en la decisión judicial. </w:t>
      </w:r>
    </w:p>
    <w:p w14:paraId="4AEE19B2"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Entre otros argumentos a favor de ello, Santiago señala los siguientes: a) toda sentencia es una decisión que se pronuncia en nombre del Estado, b) el grado de “politicidad” de una sentencia se hace especialmente evidente en los llamados “casos difíciles”, para cuya resolución los magistrados deben recurrir a mayores grados de creatividad, valoración y discrecionalidad, c) también tienen un alto nivel de “politicidad” las sentencias en las cuales se ejerce el control de constitucionalidad de actos de otros poderes del Estado, d) todas las sentencias, en mayor o menor medida, tienen una trascendencia social e influyen en la comunidad en general, yendo sus efectos o consecuencias más allá de las partes involucradas en el caso. </w:t>
      </w:r>
    </w:p>
    <w:p w14:paraId="2B5C8E9E"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Obviamente que esto no implica de ninguna manera ser una excusa para que los magistrados abandonen la independencia e imparcialidad que deben mantener en el momento de impartir justicia. Mas bien debe ser entendido en sentido contrario, vale decir como un elemento que incremente su grado de responsabilidad en el ejercicio de sus funciones.</w:t>
      </w:r>
      <w:r w:rsidRPr="00186518">
        <w:rPr>
          <w:rFonts w:ascii="Verdana" w:eastAsia="Times New Roman" w:hAnsi="Verdana" w:cs="Arial"/>
          <w:sz w:val="24"/>
          <w:szCs w:val="24"/>
          <w:vertAlign w:val="superscript"/>
          <w:lang w:val="es-ES" w:eastAsia="es-ES"/>
        </w:rPr>
        <w:footnoteReference w:id="117"/>
      </w:r>
      <w:r w:rsidRPr="00186518">
        <w:rPr>
          <w:rFonts w:ascii="Verdana" w:eastAsia="Times New Roman" w:hAnsi="Verdana" w:cs="Arial"/>
          <w:sz w:val="24"/>
          <w:szCs w:val="24"/>
          <w:lang w:val="es-ES" w:eastAsia="es-ES"/>
        </w:rPr>
        <w:t xml:space="preserve"> Cabe agregar, además, que ese grado de “politicidad” aumenta a medida que el tribunal en cuestión es de superior nivel o </w:t>
      </w:r>
      <w:r w:rsidRPr="00186518">
        <w:rPr>
          <w:rFonts w:ascii="Verdana" w:eastAsia="Times New Roman" w:hAnsi="Verdana" w:cs="Arial"/>
          <w:sz w:val="24"/>
          <w:szCs w:val="24"/>
          <w:lang w:val="es-ES" w:eastAsia="es-ES"/>
        </w:rPr>
        <w:lastRenderedPageBreak/>
        <w:t>jerarquía, llegando al máximo nivel en el caso de las Cortes Supremas o Tribunales Constitucionales.</w:t>
      </w:r>
    </w:p>
    <w:p w14:paraId="18D80BC8" w14:textId="7B496D3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Siguiendo con su exposición, el autor desarrolla el interesante concepto de “fallo institucional”. Señala que así como en el ámbito de la actividad del Poder Ejecutivo se distinguen actos administrativos, de gobierno, políticos e institucionales; en el ámbito del Poder Judicial, y especialmente en el marco de la actuación de la Corte Suprema de Justicia de la Nación, cabe diferenciar o distinguir sentencias que implican primordialmente administración de justicia, de otras más trascendentes, cuyas consecuencias exceden los intereses de los litigantes, que pueden ser definidas como sentencias institucionales. </w:t>
      </w:r>
    </w:p>
    <w:p w14:paraId="3348BCF7"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Dentro de los rasgos distintivos de este tipo de fallos podemos encontrar los siguientes: a) deciden cuestiones de repercusión pública, b) no pasan desapercibidos a los que siguen de cerca la vida política del país y a los medios de comunicación en general, c) exigen por parte del tribunal una toma de decisión sobre el fondo de la cuestión y también sobre las acciones u omisiones de otros poderes del Estado, d) en estos casos se encuentran presentes, además de los intereses de las partes, cuestiones relativas al interés general o al bien común, e) ello implica que los jueces deben evaluar las consecuencias sociales de sus decisiones con mayor prudencia, f) para su comprensión cabal es necesario tener siempre presente el contexto político en el cual fueron dictados, g) son los casos en los que una Corte Suprema o Tribunal Constitucional actúa como órgano de gobierno, y emitiendo opiniones más generales sobre el tema en cuestión (muchas veces a través de amplios obiter dictum)</w:t>
      </w:r>
      <w:r w:rsidRPr="00186518">
        <w:rPr>
          <w:rFonts w:ascii="Verdana" w:eastAsia="Times New Roman" w:hAnsi="Verdana" w:cs="Arial"/>
          <w:sz w:val="24"/>
          <w:szCs w:val="24"/>
          <w:vertAlign w:val="superscript"/>
          <w:lang w:val="es-ES" w:eastAsia="es-ES"/>
        </w:rPr>
        <w:footnoteReference w:id="118"/>
      </w:r>
      <w:r w:rsidRPr="00186518">
        <w:rPr>
          <w:rFonts w:ascii="Verdana" w:eastAsia="Times New Roman" w:hAnsi="Verdana" w:cs="Arial"/>
          <w:sz w:val="24"/>
          <w:szCs w:val="24"/>
          <w:lang w:val="es-ES" w:eastAsia="es-ES"/>
        </w:rPr>
        <w:t xml:space="preserve">. </w:t>
      </w:r>
    </w:p>
    <w:p w14:paraId="08862A3F" w14:textId="62B65F9B"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Coincide también con la idea de la existencia de un componente político institucional en la jurisprudencia de los Tribunales Supremos, Jorge </w:t>
      </w:r>
      <w:r w:rsidRPr="00186518">
        <w:rPr>
          <w:rFonts w:ascii="Verdana" w:eastAsia="Times New Roman" w:hAnsi="Verdana" w:cs="Arial"/>
          <w:sz w:val="24"/>
          <w:szCs w:val="24"/>
          <w:lang w:val="es-ES" w:eastAsia="es-ES"/>
        </w:rPr>
        <w:lastRenderedPageBreak/>
        <w:t xml:space="preserve">Reinaldo Vanossi. En este orden de ideas, refiriéndose al pensamiento de nuestra Corte Suprema de Justicia de la Nación, el autor sostiene ese componente político debe guardar armonía con el sistema constitucional y, en especial, con la relación e imbricación que debe haber entre </w:t>
      </w:r>
      <w:r w:rsidR="007352C7">
        <w:rPr>
          <w:rFonts w:ascii="Verdana" w:eastAsia="Times New Roman" w:hAnsi="Verdana" w:cs="Arial"/>
          <w:sz w:val="24"/>
          <w:szCs w:val="24"/>
          <w:lang w:val="es-ES" w:eastAsia="es-ES"/>
        </w:rPr>
        <w:t>l</w:t>
      </w:r>
      <w:r w:rsidRPr="00186518">
        <w:rPr>
          <w:rFonts w:ascii="Verdana" w:eastAsia="Times New Roman" w:hAnsi="Verdana" w:cs="Arial"/>
          <w:sz w:val="24"/>
          <w:szCs w:val="24"/>
          <w:lang w:val="es-ES" w:eastAsia="es-ES"/>
        </w:rPr>
        <w:t xml:space="preserve">a filosofía, </w:t>
      </w:r>
      <w:r w:rsidR="007352C7">
        <w:rPr>
          <w:rFonts w:ascii="Verdana" w:eastAsia="Times New Roman" w:hAnsi="Verdana" w:cs="Arial"/>
          <w:sz w:val="24"/>
          <w:szCs w:val="24"/>
          <w:lang w:val="es-ES" w:eastAsia="es-ES"/>
        </w:rPr>
        <w:t>l</w:t>
      </w:r>
      <w:r w:rsidRPr="00186518">
        <w:rPr>
          <w:rFonts w:ascii="Verdana" w:eastAsia="Times New Roman" w:hAnsi="Verdana" w:cs="Arial"/>
          <w:sz w:val="24"/>
          <w:szCs w:val="24"/>
          <w:lang w:val="es-ES" w:eastAsia="es-ES"/>
        </w:rPr>
        <w:t xml:space="preserve">a política y </w:t>
      </w:r>
      <w:r w:rsidR="007352C7">
        <w:rPr>
          <w:rFonts w:ascii="Verdana" w:eastAsia="Times New Roman" w:hAnsi="Verdana" w:cs="Arial"/>
          <w:sz w:val="24"/>
          <w:szCs w:val="24"/>
          <w:lang w:val="es-ES" w:eastAsia="es-ES"/>
        </w:rPr>
        <w:t>l</w:t>
      </w:r>
      <w:r w:rsidRPr="00186518">
        <w:rPr>
          <w:rFonts w:ascii="Verdana" w:eastAsia="Times New Roman" w:hAnsi="Verdana" w:cs="Arial"/>
          <w:sz w:val="24"/>
          <w:szCs w:val="24"/>
          <w:lang w:val="es-ES" w:eastAsia="es-ES"/>
        </w:rPr>
        <w:t>a técnica</w:t>
      </w:r>
      <w:r w:rsidR="007352C7">
        <w:rPr>
          <w:rFonts w:ascii="Verdana" w:eastAsia="Times New Roman" w:hAnsi="Verdana" w:cs="Arial"/>
          <w:sz w:val="24"/>
          <w:szCs w:val="24"/>
          <w:lang w:val="es-ES" w:eastAsia="es-ES"/>
        </w:rPr>
        <w:t xml:space="preserve"> </w:t>
      </w:r>
      <w:r w:rsidRPr="00186518">
        <w:rPr>
          <w:rFonts w:ascii="Verdana" w:eastAsia="Times New Roman" w:hAnsi="Verdana" w:cs="Arial"/>
          <w:sz w:val="24"/>
          <w:szCs w:val="24"/>
          <w:lang w:val="es-ES" w:eastAsia="es-ES"/>
        </w:rPr>
        <w:t xml:space="preserve">constitucional, encontrándose esta última al servicio de las primeras. </w:t>
      </w:r>
      <w:r w:rsidRPr="00186518">
        <w:rPr>
          <w:rFonts w:ascii="Verdana" w:eastAsia="Times New Roman" w:hAnsi="Verdana" w:cs="Arial"/>
          <w:sz w:val="24"/>
          <w:szCs w:val="24"/>
          <w:vertAlign w:val="superscript"/>
          <w:lang w:val="es-ES" w:eastAsia="es-ES"/>
        </w:rPr>
        <w:footnoteReference w:id="119"/>
      </w:r>
      <w:r w:rsidRPr="00186518">
        <w:rPr>
          <w:rFonts w:ascii="Verdana" w:eastAsia="Times New Roman" w:hAnsi="Verdana" w:cs="Arial"/>
          <w:sz w:val="24"/>
          <w:szCs w:val="24"/>
          <w:lang w:val="es-ES" w:eastAsia="es-ES"/>
        </w:rPr>
        <w:t xml:space="preserve">. </w:t>
      </w:r>
    </w:p>
    <w:p w14:paraId="1E0F768D" w14:textId="59A17128"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Puede pensarse entonces a los métodos interpretativos o argumentos utilizados por los tribunales como técnicas o medios necesarios para la consecución de altos fines político</w:t>
      </w:r>
      <w:r w:rsidR="007352C7">
        <w:rPr>
          <w:rFonts w:ascii="Verdana" w:eastAsia="Times New Roman" w:hAnsi="Verdana" w:cs="Arial"/>
          <w:sz w:val="24"/>
          <w:szCs w:val="24"/>
          <w:lang w:val="es-ES" w:eastAsia="es-ES"/>
        </w:rPr>
        <w:t>-</w:t>
      </w:r>
      <w:r w:rsidRPr="00186518">
        <w:rPr>
          <w:rFonts w:ascii="Verdana" w:eastAsia="Times New Roman" w:hAnsi="Verdana" w:cs="Arial"/>
          <w:sz w:val="24"/>
          <w:szCs w:val="24"/>
          <w:lang w:val="es-ES" w:eastAsia="es-ES"/>
        </w:rPr>
        <w:t>institucionales relacionados con la plena vigencia de la Constitución y su plexo de valores en la realidad social. Continuando con el tema, Vanossi indica que una Corte Suprema es la expresión de una política constitucional. Y que debe entenderse al término “política” en el sentido más arquitectónico de la palabra. Porque es la Corte la que en definitiva va a decidir si las implementaciones realizadas guardan o no consonancia con los valores que la sociedad ha querido privilegiar y ha decidido colocar en un orden de prelación para asegurar la convivencia y el derecho</w:t>
      </w:r>
      <w:r w:rsidRPr="00186518">
        <w:rPr>
          <w:rFonts w:ascii="Verdana" w:eastAsia="Times New Roman" w:hAnsi="Verdana" w:cs="Arial"/>
          <w:sz w:val="24"/>
          <w:szCs w:val="24"/>
          <w:vertAlign w:val="superscript"/>
          <w:lang w:val="es-ES" w:eastAsia="es-ES"/>
        </w:rPr>
        <w:footnoteReference w:id="120"/>
      </w:r>
      <w:r w:rsidRPr="00186518">
        <w:rPr>
          <w:rFonts w:ascii="Verdana" w:eastAsia="Times New Roman" w:hAnsi="Verdana" w:cs="Arial"/>
          <w:sz w:val="24"/>
          <w:szCs w:val="24"/>
          <w:lang w:val="es-ES" w:eastAsia="es-ES"/>
        </w:rPr>
        <w:t xml:space="preserve">. </w:t>
      </w:r>
    </w:p>
    <w:p w14:paraId="5243B386"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Destaca también el mencionado autor la importancia de la interpretación constitucional realizada por la Corte Suprema para perfeccionar y estabilizar el sistema democrático. En este orden de ideas manifiesta que ello se obtiene por medio de tres pernos o cauces, que logran afirmar la perdurabilidad de un sistema constitucional. Y destaca como primero de ellos a la interpretación de la Constitución. Califica a la misma como una tarea fundamental primordialmente a cargo de la Corte Suprema, que en nuestro país tiene la palabra final.</w:t>
      </w:r>
      <w:r w:rsidRPr="00186518">
        <w:rPr>
          <w:rFonts w:ascii="Verdana" w:eastAsia="Times New Roman" w:hAnsi="Verdana" w:cs="Arial"/>
          <w:sz w:val="24"/>
          <w:szCs w:val="24"/>
          <w:vertAlign w:val="superscript"/>
          <w:lang w:val="es-ES" w:eastAsia="es-ES"/>
        </w:rPr>
        <w:footnoteReference w:id="121"/>
      </w:r>
    </w:p>
    <w:p w14:paraId="0A4AED48" w14:textId="4AEFD2FD"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lastRenderedPageBreak/>
        <w:t xml:space="preserve">Augusto M. Morello destaca también el rol político de la Corte Suprema, intérprete final de la Constitución, señalando que dicha actividad admite algún grado o matiz de “politicidad”. Pero siempre en el marco de la prudencia, y contención. La Corte no es indiferente a ello. Por eso está presente y orienta la línea de las grandes coordenadas del sistema de la República y la igualdad democrática, con espíritu de educación cívica, con el fin de transmitir amor y respeto a la Constitución y a las instituciones, </w:t>
      </w:r>
      <w:r w:rsidR="007352C7">
        <w:rPr>
          <w:rFonts w:ascii="Verdana" w:eastAsia="Times New Roman" w:hAnsi="Verdana" w:cs="Arial"/>
          <w:sz w:val="24"/>
          <w:szCs w:val="24"/>
          <w:lang w:val="es-ES" w:eastAsia="es-ES"/>
        </w:rPr>
        <w:t>junto con</w:t>
      </w:r>
      <w:r w:rsidRPr="00186518">
        <w:rPr>
          <w:rFonts w:ascii="Verdana" w:eastAsia="Times New Roman" w:hAnsi="Verdana" w:cs="Arial"/>
          <w:sz w:val="24"/>
          <w:szCs w:val="24"/>
          <w:lang w:val="es-ES" w:eastAsia="es-ES"/>
        </w:rPr>
        <w:t xml:space="preserve"> la ciudadanía.</w:t>
      </w:r>
      <w:r w:rsidRPr="00186518">
        <w:rPr>
          <w:rFonts w:ascii="Verdana" w:eastAsia="Times New Roman" w:hAnsi="Verdana" w:cs="Arial"/>
          <w:sz w:val="24"/>
          <w:szCs w:val="24"/>
          <w:vertAlign w:val="superscript"/>
          <w:lang w:val="es-ES" w:eastAsia="es-ES"/>
        </w:rPr>
        <w:footnoteReference w:id="122"/>
      </w:r>
      <w:r w:rsidRPr="00186518">
        <w:rPr>
          <w:rFonts w:ascii="Verdana" w:eastAsia="Times New Roman" w:hAnsi="Verdana" w:cs="Arial"/>
          <w:sz w:val="24"/>
          <w:szCs w:val="24"/>
          <w:lang w:val="es-ES" w:eastAsia="es-ES"/>
        </w:rPr>
        <w:t xml:space="preserve">  </w:t>
      </w:r>
    </w:p>
    <w:p w14:paraId="777D8F36"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Lo propio hace Carlos Fayt, quien describe con claridad el hilo conductor que existe entre la actividad política y el rol de los jueces. En este sentido enseña que la política es el arte de transformar las tensiones sociales en normas jurídicas. Y por eso, la función de la Corte consiste en determinar si esas normas se encuentran o no a extramuros de la Constitución. La Corte tiene como herramienta el control de constitucionalidad, adecuando al sistema jurídico por las circunstancias históricas, en salvaguardia de los derechos y garantías, asegurando a la sociedad su existencia dentro del derecho, la justicia y la libertad.</w:t>
      </w:r>
      <w:r w:rsidRPr="00186518">
        <w:rPr>
          <w:rFonts w:ascii="Verdana" w:eastAsia="Times New Roman" w:hAnsi="Verdana" w:cs="Arial"/>
          <w:sz w:val="24"/>
          <w:szCs w:val="24"/>
          <w:vertAlign w:val="superscript"/>
          <w:lang w:val="es-ES" w:eastAsia="es-ES"/>
        </w:rPr>
        <w:footnoteReference w:id="123"/>
      </w:r>
    </w:p>
    <w:p w14:paraId="26EC0354" w14:textId="6D7DFF10"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Por su parte, Dalla Via distingue dos planos o dimensiones de la relación entre la justicia y la política. Un plano es el ético, de carácter personal o individual. Su riesgo o reaseguro se encuentra en los procesos de designación de los magistrados. El otro plano es el funcional o sistémico, que tiene que ver con la forma en que un determinado sistema político articula o armoniza la relación entre la justicia y la política.</w:t>
      </w:r>
      <w:r w:rsidRPr="00186518">
        <w:rPr>
          <w:rFonts w:ascii="Verdana" w:eastAsia="Times New Roman" w:hAnsi="Verdana" w:cs="Arial"/>
          <w:sz w:val="24"/>
          <w:szCs w:val="24"/>
          <w:vertAlign w:val="superscript"/>
          <w:lang w:val="es-ES" w:eastAsia="es-ES"/>
        </w:rPr>
        <w:footnoteReference w:id="124"/>
      </w:r>
      <w:r w:rsidRPr="00186518">
        <w:rPr>
          <w:rFonts w:ascii="Verdana" w:eastAsia="Times New Roman" w:hAnsi="Verdana" w:cs="Arial"/>
          <w:sz w:val="24"/>
          <w:szCs w:val="24"/>
          <w:lang w:val="es-ES" w:eastAsia="es-ES"/>
        </w:rPr>
        <w:t xml:space="preserve"> </w:t>
      </w:r>
    </w:p>
    <w:p w14:paraId="474878F8" w14:textId="45BA41C5"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En este orden de ideas, el autor descalifica la politización entendida como una patología o deformación interpretativa basada en una </w:t>
      </w:r>
      <w:r w:rsidRPr="00186518">
        <w:rPr>
          <w:rFonts w:ascii="Verdana" w:eastAsia="Times New Roman" w:hAnsi="Verdana" w:cs="Arial"/>
          <w:sz w:val="24"/>
          <w:szCs w:val="24"/>
          <w:lang w:val="es-ES" w:eastAsia="es-ES"/>
        </w:rPr>
        <w:lastRenderedPageBreak/>
        <w:t>teleología unidireccional.</w:t>
      </w:r>
      <w:r w:rsidRPr="00186518">
        <w:rPr>
          <w:rFonts w:ascii="Verdana" w:eastAsia="Times New Roman" w:hAnsi="Verdana" w:cs="Arial"/>
          <w:sz w:val="24"/>
          <w:szCs w:val="24"/>
          <w:vertAlign w:val="superscript"/>
          <w:lang w:val="es-ES" w:eastAsia="es-ES"/>
        </w:rPr>
        <w:footnoteReference w:id="125"/>
      </w:r>
      <w:r w:rsidRPr="00186518">
        <w:rPr>
          <w:rFonts w:ascii="Verdana" w:eastAsia="Times New Roman" w:hAnsi="Verdana" w:cs="Arial"/>
          <w:sz w:val="24"/>
          <w:szCs w:val="24"/>
          <w:lang w:val="es-ES" w:eastAsia="es-ES"/>
        </w:rPr>
        <w:t xml:space="preserve"> Pero por el contrario señala que no tiene una mirada crítica acerca de la adopción de criterios políticos en la interpretación, siempre y cuando los mismos se incardinen en el plexo de valores propio del ordenamiento aceptado. Relaciona el tema con el concepto de “fórmula política”, elaborado por García de Enterría y Canosa Usera.</w:t>
      </w:r>
      <w:r w:rsidRPr="00186518">
        <w:rPr>
          <w:rFonts w:ascii="Verdana" w:eastAsia="Times New Roman" w:hAnsi="Verdana" w:cs="Arial"/>
          <w:sz w:val="24"/>
          <w:szCs w:val="24"/>
          <w:vertAlign w:val="superscript"/>
          <w:lang w:val="es-ES" w:eastAsia="es-ES"/>
        </w:rPr>
        <w:footnoteReference w:id="126"/>
      </w:r>
      <w:r w:rsidRPr="00186518">
        <w:rPr>
          <w:rFonts w:ascii="Verdana" w:eastAsia="Times New Roman" w:hAnsi="Verdana" w:cs="Arial"/>
          <w:sz w:val="24"/>
          <w:szCs w:val="24"/>
          <w:lang w:val="es-ES" w:eastAsia="es-ES"/>
        </w:rPr>
        <w:t xml:space="preserve"> </w:t>
      </w:r>
    </w:p>
    <w:p w14:paraId="42559890" w14:textId="07045B22"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Pero Dalla Via rechaza</w:t>
      </w:r>
      <w:r w:rsidR="00FF29C2">
        <w:rPr>
          <w:rFonts w:ascii="Verdana" w:eastAsia="Times New Roman" w:hAnsi="Verdana" w:cs="Arial"/>
          <w:sz w:val="24"/>
          <w:szCs w:val="24"/>
          <w:lang w:val="es-ES" w:eastAsia="es-ES"/>
        </w:rPr>
        <w:t xml:space="preserve">, </w:t>
      </w:r>
      <w:r w:rsidRPr="00186518">
        <w:rPr>
          <w:rFonts w:ascii="Verdana" w:eastAsia="Times New Roman" w:hAnsi="Verdana" w:cs="Arial"/>
          <w:sz w:val="24"/>
          <w:szCs w:val="24"/>
          <w:lang w:val="es-ES" w:eastAsia="es-ES"/>
        </w:rPr>
        <w:t xml:space="preserve">como criterio meramente político, a las teorías que avalan y preconizan el “uso alternativo del derecho”. Quizá podría pensarse que estos criterios podrían justificar interpretaciones mutativas de la norma constitucional. </w:t>
      </w:r>
    </w:p>
    <w:p w14:paraId="68CA9750" w14:textId="234D3FAE" w:rsid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Considero que</w:t>
      </w:r>
      <w:r w:rsidR="00FF29C2">
        <w:rPr>
          <w:rFonts w:ascii="Verdana" w:eastAsia="Times New Roman" w:hAnsi="Verdana" w:cs="Arial"/>
          <w:sz w:val="24"/>
          <w:szCs w:val="24"/>
          <w:lang w:val="es-ES" w:eastAsia="es-ES"/>
        </w:rPr>
        <w:t>,</w:t>
      </w:r>
      <w:r w:rsidR="00CD319D">
        <w:rPr>
          <w:rFonts w:ascii="Verdana" w:eastAsia="Times New Roman" w:hAnsi="Verdana" w:cs="Arial"/>
          <w:sz w:val="24"/>
          <w:szCs w:val="24"/>
          <w:lang w:val="es-ES" w:eastAsia="es-ES"/>
        </w:rPr>
        <w:t xml:space="preserve"> </w:t>
      </w:r>
      <w:r w:rsidRPr="00186518">
        <w:rPr>
          <w:rFonts w:ascii="Verdana" w:eastAsia="Times New Roman" w:hAnsi="Verdana" w:cs="Arial"/>
          <w:sz w:val="24"/>
          <w:szCs w:val="24"/>
          <w:lang w:val="es-ES" w:eastAsia="es-ES"/>
        </w:rPr>
        <w:t>a los efectos de sintetizar el tema, debe pensarse que los jueces, al interpretar la Constitución, deben pensar en términos políticos “arquitectónicos” o “sistémicos”, y rechazar cualquier argumento de carácter político partidario, coyuntural, o que conduzca a tergiversar la norma constitucional.</w:t>
      </w:r>
    </w:p>
    <w:p w14:paraId="3974B95F" w14:textId="4DF84EF2" w:rsidR="009B258B" w:rsidRDefault="009B258B" w:rsidP="00AE689A">
      <w:pPr>
        <w:spacing w:after="0" w:line="360" w:lineRule="auto"/>
        <w:rPr>
          <w:rFonts w:ascii="Verdana" w:eastAsia="Times New Roman" w:hAnsi="Verdana" w:cs="Arial"/>
          <w:sz w:val="24"/>
          <w:szCs w:val="24"/>
          <w:lang w:val="es-ES" w:eastAsia="es-ES"/>
        </w:rPr>
      </w:pPr>
    </w:p>
    <w:p w14:paraId="49F98729" w14:textId="06249E91" w:rsidR="009B258B" w:rsidRPr="00C91D12" w:rsidRDefault="009B258B" w:rsidP="00AE689A">
      <w:pPr>
        <w:spacing w:after="0" w:line="360" w:lineRule="auto"/>
        <w:rPr>
          <w:rFonts w:ascii="Verdana" w:eastAsia="Times New Roman" w:hAnsi="Verdana" w:cs="Arial"/>
          <w:b/>
          <w:bCs/>
          <w:sz w:val="24"/>
          <w:szCs w:val="24"/>
          <w:lang w:val="es-ES" w:eastAsia="es-ES"/>
        </w:rPr>
      </w:pPr>
      <w:r w:rsidRPr="00C91D12">
        <w:rPr>
          <w:rFonts w:ascii="Verdana" w:eastAsia="Times New Roman" w:hAnsi="Verdana" w:cs="Arial"/>
          <w:b/>
          <w:bCs/>
          <w:sz w:val="24"/>
          <w:szCs w:val="24"/>
          <w:lang w:val="es-ES" w:eastAsia="es-ES"/>
        </w:rPr>
        <w:t>5. INTERPRETACIÓN Y ARGUMENTACIÓN: RELACIONES POSIBLES</w:t>
      </w:r>
    </w:p>
    <w:p w14:paraId="45E3D50E" w14:textId="77777777" w:rsidR="00417A5F" w:rsidRPr="00C91D12" w:rsidRDefault="00417A5F" w:rsidP="00AE689A">
      <w:pPr>
        <w:spacing w:after="0" w:line="360" w:lineRule="auto"/>
        <w:rPr>
          <w:rFonts w:ascii="Verdana" w:eastAsia="Times New Roman" w:hAnsi="Verdana" w:cs="Arial"/>
          <w:b/>
          <w:bCs/>
          <w:sz w:val="24"/>
          <w:szCs w:val="24"/>
          <w:lang w:val="es-ES" w:eastAsia="es-ES"/>
        </w:rPr>
      </w:pPr>
    </w:p>
    <w:p w14:paraId="49B34E75" w14:textId="7391751F" w:rsidR="00417A5F" w:rsidRDefault="00417A5F" w:rsidP="00AE689A">
      <w:pPr>
        <w:spacing w:after="0" w:line="360" w:lineRule="auto"/>
        <w:rPr>
          <w:rFonts w:ascii="Verdana" w:eastAsia="Times New Roman" w:hAnsi="Verdana" w:cs="Arial"/>
          <w:sz w:val="24"/>
          <w:szCs w:val="24"/>
          <w:lang w:val="es-ES" w:eastAsia="es-ES"/>
        </w:rPr>
      </w:pPr>
      <w:r>
        <w:rPr>
          <w:rFonts w:ascii="Verdana" w:eastAsia="Times New Roman" w:hAnsi="Verdana" w:cs="Arial"/>
          <w:sz w:val="24"/>
          <w:szCs w:val="24"/>
          <w:lang w:val="es-ES" w:eastAsia="es-ES"/>
        </w:rPr>
        <w:t>Quisiera concluir esta parte teórica del trabajo mencionando cuales pueden ser algunas de las relaciones posibles entre los criterios de interpretación y argumentación.</w:t>
      </w:r>
    </w:p>
    <w:p w14:paraId="2E471515" w14:textId="25205C93" w:rsidR="00417A5F" w:rsidRDefault="00417A5F" w:rsidP="00AE689A">
      <w:pPr>
        <w:spacing w:after="0" w:line="360" w:lineRule="auto"/>
        <w:rPr>
          <w:rFonts w:ascii="Verdana" w:eastAsia="Times New Roman" w:hAnsi="Verdana" w:cs="Arial"/>
          <w:sz w:val="24"/>
          <w:szCs w:val="24"/>
          <w:lang w:val="es-ES" w:eastAsia="es-ES"/>
        </w:rPr>
      </w:pPr>
      <w:r>
        <w:rPr>
          <w:rFonts w:ascii="Verdana" w:eastAsia="Times New Roman" w:hAnsi="Verdana" w:cs="Arial"/>
          <w:sz w:val="24"/>
          <w:szCs w:val="24"/>
          <w:lang w:val="es-ES" w:eastAsia="es-ES"/>
        </w:rPr>
        <w:t>Una primera relación posible es pensar, como ya se ha insinuado, en la interpretación como una mirada hacia el contexto de descubrimiento del sentido de la norma constitucional; y en la argumentación como una mirada hacia el contexto de la justificación de la decisión judicial.</w:t>
      </w:r>
    </w:p>
    <w:p w14:paraId="658C3E1B" w14:textId="37CA9A64" w:rsidR="00417A5F" w:rsidRDefault="00417A5F" w:rsidP="00AE689A">
      <w:pPr>
        <w:spacing w:after="0" w:line="360" w:lineRule="auto"/>
        <w:rPr>
          <w:rFonts w:ascii="Verdana" w:eastAsia="Times New Roman" w:hAnsi="Verdana" w:cs="Arial"/>
          <w:sz w:val="24"/>
          <w:szCs w:val="24"/>
          <w:lang w:val="es-ES" w:eastAsia="es-ES"/>
        </w:rPr>
      </w:pPr>
      <w:r>
        <w:rPr>
          <w:rFonts w:ascii="Verdana" w:eastAsia="Times New Roman" w:hAnsi="Verdana" w:cs="Arial"/>
          <w:sz w:val="24"/>
          <w:szCs w:val="24"/>
          <w:lang w:val="es-ES" w:eastAsia="es-ES"/>
        </w:rPr>
        <w:lastRenderedPageBreak/>
        <w:t xml:space="preserve">Otra hipótesis </w:t>
      </w:r>
      <w:r w:rsidR="0084450A">
        <w:rPr>
          <w:rFonts w:ascii="Verdana" w:eastAsia="Times New Roman" w:hAnsi="Verdana" w:cs="Arial"/>
          <w:sz w:val="24"/>
          <w:szCs w:val="24"/>
          <w:lang w:val="es-ES" w:eastAsia="es-ES"/>
        </w:rPr>
        <w:t xml:space="preserve">sería considerar a la argumentación como el conjunto de razones que estructuran un criterio interpretativo que el juez expone en los fundamentos de su sentencia. </w:t>
      </w:r>
    </w:p>
    <w:p w14:paraId="7291C2EB" w14:textId="0A26C995" w:rsidR="00A97BF8" w:rsidRDefault="00A97BF8" w:rsidP="00AE689A">
      <w:pPr>
        <w:spacing w:after="0" w:line="360" w:lineRule="auto"/>
        <w:rPr>
          <w:rFonts w:ascii="Verdana" w:eastAsia="Times New Roman" w:hAnsi="Verdana" w:cs="Arial"/>
          <w:sz w:val="24"/>
          <w:szCs w:val="24"/>
          <w:lang w:val="es-ES" w:eastAsia="es-ES"/>
        </w:rPr>
      </w:pPr>
      <w:r>
        <w:rPr>
          <w:rFonts w:ascii="Verdana" w:eastAsia="Times New Roman" w:hAnsi="Verdana" w:cs="Arial"/>
          <w:sz w:val="24"/>
          <w:szCs w:val="24"/>
          <w:lang w:val="es-ES" w:eastAsia="es-ES"/>
        </w:rPr>
        <w:t>Ambas especulaciones tienen su lado débil. En primer lugar, podría objetarse la tajante distinción entre un contexto de descubrimiento de sentido</w:t>
      </w:r>
      <w:r w:rsidR="009919BE">
        <w:rPr>
          <w:rFonts w:ascii="Verdana" w:eastAsia="Times New Roman" w:hAnsi="Verdana" w:cs="Arial"/>
          <w:sz w:val="24"/>
          <w:szCs w:val="24"/>
          <w:lang w:val="es-ES" w:eastAsia="es-ES"/>
        </w:rPr>
        <w:t xml:space="preserve"> de la norma</w:t>
      </w:r>
      <w:r>
        <w:rPr>
          <w:rFonts w:ascii="Verdana" w:eastAsia="Times New Roman" w:hAnsi="Verdana" w:cs="Arial"/>
          <w:sz w:val="24"/>
          <w:szCs w:val="24"/>
          <w:lang w:val="es-ES" w:eastAsia="es-ES"/>
        </w:rPr>
        <w:t xml:space="preserve"> y otro de justificación de la </w:t>
      </w:r>
      <w:r w:rsidR="009919BE">
        <w:rPr>
          <w:rFonts w:ascii="Verdana" w:eastAsia="Times New Roman" w:hAnsi="Verdana" w:cs="Arial"/>
          <w:sz w:val="24"/>
          <w:szCs w:val="24"/>
          <w:lang w:val="es-ES" w:eastAsia="es-ES"/>
        </w:rPr>
        <w:t xml:space="preserve">decisión. </w:t>
      </w:r>
      <w:r w:rsidR="00E36FE4">
        <w:rPr>
          <w:rFonts w:ascii="Verdana" w:eastAsia="Times New Roman" w:hAnsi="Verdana" w:cs="Arial"/>
          <w:sz w:val="24"/>
          <w:szCs w:val="24"/>
          <w:lang w:val="es-ES" w:eastAsia="es-ES"/>
        </w:rPr>
        <w:t>Y</w:t>
      </w:r>
      <w:r w:rsidR="00DC440C">
        <w:rPr>
          <w:rFonts w:ascii="Verdana" w:eastAsia="Times New Roman" w:hAnsi="Verdana" w:cs="Arial"/>
          <w:sz w:val="24"/>
          <w:szCs w:val="24"/>
          <w:lang w:val="es-ES" w:eastAsia="es-ES"/>
        </w:rPr>
        <w:t>,</w:t>
      </w:r>
      <w:r w:rsidR="00E36FE4">
        <w:rPr>
          <w:rFonts w:ascii="Verdana" w:eastAsia="Times New Roman" w:hAnsi="Verdana" w:cs="Arial"/>
          <w:sz w:val="24"/>
          <w:szCs w:val="24"/>
          <w:lang w:val="es-ES" w:eastAsia="es-ES"/>
        </w:rPr>
        <w:t xml:space="preserve"> en segundo lugar, la idea de criterio interpretativo sería bastante imprecisa. ¿Con cuántos argumentos tendríamos un criterio por ejemplo?</w:t>
      </w:r>
    </w:p>
    <w:p w14:paraId="1DB2D8FB" w14:textId="7D7F26B9" w:rsidR="00E36FE4" w:rsidRDefault="00E36FE4" w:rsidP="00AE689A">
      <w:pPr>
        <w:spacing w:after="0" w:line="360" w:lineRule="auto"/>
        <w:rPr>
          <w:rFonts w:ascii="Verdana" w:eastAsia="Times New Roman" w:hAnsi="Verdana" w:cs="Arial"/>
          <w:sz w:val="24"/>
          <w:szCs w:val="24"/>
          <w:lang w:val="es-ES" w:eastAsia="es-ES"/>
        </w:rPr>
      </w:pPr>
      <w:r>
        <w:rPr>
          <w:rFonts w:ascii="Verdana" w:eastAsia="Times New Roman" w:hAnsi="Verdana" w:cs="Arial"/>
          <w:sz w:val="24"/>
          <w:szCs w:val="24"/>
          <w:lang w:val="es-ES" w:eastAsia="es-ES"/>
        </w:rPr>
        <w:t xml:space="preserve">Una tercera posibilidad es considerar que la interpretación responde al paradigma del siglo XIX y la argumentación al del siglo XXI pero que en realidad se está hablando de lo mismo. </w:t>
      </w:r>
    </w:p>
    <w:p w14:paraId="11FD9161" w14:textId="1E9593F7" w:rsidR="00E36FE4" w:rsidRDefault="00E36FE4" w:rsidP="00AE689A">
      <w:pPr>
        <w:spacing w:after="0" w:line="360" w:lineRule="auto"/>
        <w:rPr>
          <w:rFonts w:ascii="Verdana" w:eastAsia="Times New Roman" w:hAnsi="Verdana" w:cs="Arial"/>
          <w:sz w:val="24"/>
          <w:szCs w:val="24"/>
          <w:lang w:val="es-ES" w:eastAsia="es-ES"/>
        </w:rPr>
      </w:pPr>
      <w:r>
        <w:rPr>
          <w:rFonts w:ascii="Verdana" w:eastAsia="Times New Roman" w:hAnsi="Verdana" w:cs="Arial"/>
          <w:sz w:val="24"/>
          <w:szCs w:val="24"/>
          <w:lang w:val="es-ES" w:eastAsia="es-ES"/>
        </w:rPr>
        <w:t>En lo personal considero interesante buscar algún tipo de interacción o relación entre ambos términos, pero sin duda la discusión permanece abierta.</w:t>
      </w:r>
    </w:p>
    <w:p w14:paraId="6B5A36EE" w14:textId="7EFA3E3F" w:rsidR="009A59B1" w:rsidRDefault="009A59B1" w:rsidP="00AE689A">
      <w:pPr>
        <w:spacing w:after="0" w:line="360" w:lineRule="auto"/>
        <w:rPr>
          <w:rFonts w:ascii="Verdana" w:eastAsia="Times New Roman" w:hAnsi="Verdana" w:cs="Arial"/>
          <w:sz w:val="24"/>
          <w:szCs w:val="24"/>
          <w:lang w:val="es-ES" w:eastAsia="es-ES"/>
        </w:rPr>
      </w:pPr>
    </w:p>
    <w:p w14:paraId="6132E567" w14:textId="13FBBA25" w:rsidR="009A59B1" w:rsidRDefault="009A59B1" w:rsidP="00AE689A">
      <w:pPr>
        <w:spacing w:after="0" w:line="360" w:lineRule="auto"/>
        <w:rPr>
          <w:rFonts w:ascii="Verdana" w:eastAsia="Times New Roman" w:hAnsi="Verdana" w:cs="Arial"/>
          <w:b/>
          <w:bCs/>
          <w:sz w:val="24"/>
          <w:szCs w:val="24"/>
          <w:lang w:val="es-ES" w:eastAsia="es-ES"/>
        </w:rPr>
      </w:pPr>
      <w:r w:rsidRPr="00003C34">
        <w:rPr>
          <w:rFonts w:ascii="Verdana" w:eastAsia="Times New Roman" w:hAnsi="Verdana" w:cs="Arial"/>
          <w:b/>
          <w:bCs/>
          <w:sz w:val="24"/>
          <w:szCs w:val="24"/>
          <w:lang w:val="es-ES" w:eastAsia="es-ES"/>
        </w:rPr>
        <w:t>6. LA MIRADA RESTRICTIVA O EXTENSIVA DE LOS DERECHOS Y LA INTERPRETACIÓN</w:t>
      </w:r>
    </w:p>
    <w:p w14:paraId="3B20DE54" w14:textId="76FE21E4" w:rsidR="004160A4" w:rsidRDefault="004160A4" w:rsidP="00AE689A">
      <w:pPr>
        <w:spacing w:after="0" w:line="360" w:lineRule="auto"/>
        <w:rPr>
          <w:rFonts w:ascii="Verdana" w:eastAsia="Times New Roman" w:hAnsi="Verdana" w:cs="Arial"/>
          <w:b/>
          <w:bCs/>
          <w:sz w:val="24"/>
          <w:szCs w:val="24"/>
          <w:lang w:val="es-ES" w:eastAsia="es-ES"/>
        </w:rPr>
      </w:pPr>
    </w:p>
    <w:p w14:paraId="7E64BAD0" w14:textId="77777777" w:rsidR="004160A4" w:rsidRPr="00161102" w:rsidRDefault="004160A4" w:rsidP="004160A4">
      <w:pPr>
        <w:spacing w:after="0" w:line="360" w:lineRule="auto"/>
        <w:rPr>
          <w:rFonts w:ascii="Verdana" w:eastAsia="Times New Roman" w:hAnsi="Verdana" w:cs="Arial"/>
          <w:sz w:val="24"/>
          <w:szCs w:val="24"/>
          <w:lang w:val="es-ES" w:eastAsia="es-ES"/>
        </w:rPr>
      </w:pPr>
      <w:r w:rsidRPr="00161102">
        <w:rPr>
          <w:rFonts w:ascii="Verdana" w:eastAsia="Times New Roman" w:hAnsi="Verdana" w:cs="Arial"/>
          <w:sz w:val="24"/>
          <w:szCs w:val="24"/>
          <w:lang w:val="es-ES" w:eastAsia="es-ES"/>
        </w:rPr>
        <w:t>Otro aspecto de interés es lo relacionado con la interpretación extensiva y restrictiva de las normas. Gregorio Badeni señala que la interpretación extensiva consiste en aplicar una disposición constitucional a casos o situaciones que, aparentemente, no deberían quedar bajo su imperio, pero que, en el contexto del caso o circunstancia, resulta razonable hacerlo. Muchas veces suele relacionarse con la interpretación dinámica o progresista, que se expondrá luego</w:t>
      </w:r>
      <w:r w:rsidRPr="00161102">
        <w:rPr>
          <w:rFonts w:ascii="Verdana" w:eastAsia="Times New Roman" w:hAnsi="Verdana" w:cs="Arial"/>
          <w:sz w:val="24"/>
          <w:szCs w:val="24"/>
          <w:vertAlign w:val="superscript"/>
          <w:lang w:val="es-ES" w:eastAsia="es-ES"/>
        </w:rPr>
        <w:footnoteReference w:id="127"/>
      </w:r>
      <w:r w:rsidRPr="00161102">
        <w:rPr>
          <w:rFonts w:ascii="Verdana" w:eastAsia="Times New Roman" w:hAnsi="Verdana" w:cs="Arial"/>
          <w:sz w:val="24"/>
          <w:szCs w:val="24"/>
          <w:lang w:val="es-ES" w:eastAsia="es-ES"/>
        </w:rPr>
        <w:t xml:space="preserve">. Algunos principios constitucionales pueden justificar muchas veces interpretaciones extensivas. Badeni cita como ejemplo el principio “in dubio pro libertate”. </w:t>
      </w:r>
    </w:p>
    <w:p w14:paraId="795FBAD7" w14:textId="77777777" w:rsidR="004160A4" w:rsidRPr="00161102" w:rsidRDefault="004160A4" w:rsidP="004160A4">
      <w:pPr>
        <w:spacing w:after="0" w:line="360" w:lineRule="auto"/>
        <w:rPr>
          <w:rFonts w:ascii="Verdana" w:eastAsia="Times New Roman" w:hAnsi="Verdana" w:cs="Arial"/>
          <w:sz w:val="24"/>
          <w:szCs w:val="24"/>
          <w:lang w:val="es-ES" w:eastAsia="es-ES"/>
        </w:rPr>
      </w:pPr>
      <w:r w:rsidRPr="00161102">
        <w:rPr>
          <w:rFonts w:ascii="Verdana" w:eastAsia="Times New Roman" w:hAnsi="Verdana" w:cs="Arial"/>
          <w:sz w:val="24"/>
          <w:szCs w:val="24"/>
          <w:lang w:val="es-ES" w:eastAsia="es-ES"/>
        </w:rPr>
        <w:lastRenderedPageBreak/>
        <w:t>Por su parte Ricardo Guastini define al método hermenéutico extensivo señalando que es aquella interpretación que extiende el significado de una disposición, incluyendo en su campo de aplicación supuestos de hecho que, conforme una interpretación literal, no entrarían en él.</w:t>
      </w:r>
      <w:r w:rsidRPr="00161102">
        <w:rPr>
          <w:rFonts w:ascii="Verdana" w:eastAsia="Times New Roman" w:hAnsi="Verdana" w:cs="Arial"/>
          <w:sz w:val="24"/>
          <w:szCs w:val="24"/>
          <w:vertAlign w:val="superscript"/>
          <w:lang w:val="es-ES" w:eastAsia="es-ES"/>
        </w:rPr>
        <w:footnoteReference w:id="128"/>
      </w:r>
      <w:r w:rsidRPr="00161102">
        <w:rPr>
          <w:rFonts w:ascii="Verdana" w:eastAsia="Times New Roman" w:hAnsi="Verdana" w:cs="Arial"/>
          <w:sz w:val="24"/>
          <w:szCs w:val="24"/>
          <w:lang w:val="es-ES" w:eastAsia="es-ES"/>
        </w:rPr>
        <w:t xml:space="preserve"> Señala que muchas veces se instrumentan a través de los argumentos “a fortiori” y “a simili”. </w:t>
      </w:r>
    </w:p>
    <w:p w14:paraId="688FBEEB" w14:textId="77777777" w:rsidR="004160A4" w:rsidRPr="00161102" w:rsidRDefault="004160A4" w:rsidP="004160A4">
      <w:pPr>
        <w:spacing w:after="0" w:line="360" w:lineRule="auto"/>
        <w:rPr>
          <w:rFonts w:ascii="Verdana" w:eastAsia="Times New Roman" w:hAnsi="Verdana" w:cs="Arial"/>
          <w:sz w:val="24"/>
          <w:szCs w:val="24"/>
          <w:lang w:val="es-ES" w:eastAsia="es-ES"/>
        </w:rPr>
      </w:pPr>
      <w:r w:rsidRPr="00161102">
        <w:rPr>
          <w:rFonts w:ascii="Verdana" w:eastAsia="Times New Roman" w:hAnsi="Verdana" w:cs="Arial"/>
          <w:sz w:val="24"/>
          <w:szCs w:val="24"/>
          <w:lang w:val="es-ES" w:eastAsia="es-ES"/>
        </w:rPr>
        <w:t xml:space="preserve">Por el contrario, la interpretación restrictiva consiste en reducir el alcance de la norma, si su significado literal no permite razonablemente extenderlo a ciertos casos o en ciertas circunstancias. Conforme Badeni, un ejemplo de ello podría ser la interpretación restrictiva de los fueros y prerrogativas previstos en la Constitución, a la luz del principio de igualdad previsto en el artículo 16 CN. </w:t>
      </w:r>
      <w:r w:rsidRPr="00161102">
        <w:rPr>
          <w:rFonts w:ascii="Verdana" w:eastAsia="Times New Roman" w:hAnsi="Verdana" w:cs="Arial"/>
          <w:sz w:val="24"/>
          <w:szCs w:val="24"/>
          <w:vertAlign w:val="superscript"/>
          <w:lang w:val="es-ES" w:eastAsia="es-ES"/>
        </w:rPr>
        <w:footnoteReference w:id="129"/>
      </w:r>
      <w:r w:rsidRPr="00161102">
        <w:rPr>
          <w:rFonts w:ascii="Verdana" w:eastAsia="Times New Roman" w:hAnsi="Verdana" w:cs="Arial"/>
          <w:sz w:val="24"/>
          <w:szCs w:val="24"/>
          <w:lang w:val="es-ES" w:eastAsia="es-ES"/>
        </w:rPr>
        <w:t xml:space="preserve"> Ricardo Guastini define a esta interpretación diciendo que es aquella que circunscribe el significado de una disposición excluyendo de su campo de aplicación algunos supuestos de hecho que, según una interpretación literal, no entrarían en él.</w:t>
      </w:r>
      <w:r w:rsidRPr="00161102">
        <w:rPr>
          <w:rFonts w:ascii="Verdana" w:eastAsia="Times New Roman" w:hAnsi="Verdana" w:cs="Arial"/>
          <w:sz w:val="24"/>
          <w:szCs w:val="24"/>
          <w:vertAlign w:val="superscript"/>
          <w:lang w:val="es-ES" w:eastAsia="es-ES"/>
        </w:rPr>
        <w:footnoteReference w:id="130"/>
      </w:r>
      <w:r w:rsidRPr="00161102">
        <w:rPr>
          <w:rFonts w:ascii="Verdana" w:eastAsia="Times New Roman" w:hAnsi="Verdana" w:cs="Arial"/>
          <w:sz w:val="24"/>
          <w:szCs w:val="24"/>
          <w:lang w:val="es-ES" w:eastAsia="es-ES"/>
        </w:rPr>
        <w:t xml:space="preserve"> Señala que muchas veces se instrumentan a través de los argumentos “a fortiori” y “a simili”. </w:t>
      </w:r>
    </w:p>
    <w:p w14:paraId="6D9C1E1A" w14:textId="77777777" w:rsidR="004160A4" w:rsidRPr="00161102" w:rsidRDefault="004160A4" w:rsidP="004160A4">
      <w:pPr>
        <w:spacing w:after="0" w:line="360" w:lineRule="auto"/>
        <w:rPr>
          <w:rFonts w:ascii="Verdana" w:eastAsia="Times New Roman" w:hAnsi="Verdana" w:cs="Arial"/>
          <w:sz w:val="24"/>
          <w:szCs w:val="24"/>
          <w:lang w:val="es-ES" w:eastAsia="es-ES"/>
        </w:rPr>
      </w:pPr>
      <w:r w:rsidRPr="00161102">
        <w:rPr>
          <w:rFonts w:ascii="Verdana" w:eastAsia="Times New Roman" w:hAnsi="Verdana" w:cs="Arial"/>
          <w:sz w:val="24"/>
          <w:szCs w:val="24"/>
          <w:lang w:val="es-ES" w:eastAsia="es-ES"/>
        </w:rPr>
        <w:t xml:space="preserve">Este jurista indica que muchas veces este método utiliza el argumento de la disociación para excluir los supuestos de hecho del alcance de la norma que se le podría aplicar. </w:t>
      </w:r>
    </w:p>
    <w:p w14:paraId="193BB865" w14:textId="77777777" w:rsidR="004160A4" w:rsidRPr="00161102" w:rsidRDefault="004160A4" w:rsidP="004160A4">
      <w:pPr>
        <w:spacing w:after="0" w:line="360" w:lineRule="auto"/>
        <w:rPr>
          <w:rFonts w:ascii="Verdana" w:eastAsia="Times New Roman" w:hAnsi="Verdana" w:cs="Arial"/>
          <w:sz w:val="24"/>
          <w:szCs w:val="24"/>
          <w:lang w:val="es-ES" w:eastAsia="es-ES"/>
        </w:rPr>
      </w:pPr>
      <w:r w:rsidRPr="00161102">
        <w:rPr>
          <w:rFonts w:ascii="Verdana" w:eastAsia="Times New Roman" w:hAnsi="Verdana" w:cs="Arial"/>
          <w:sz w:val="24"/>
          <w:szCs w:val="24"/>
          <w:lang w:val="es-ES" w:eastAsia="es-ES"/>
        </w:rPr>
        <w:t xml:space="preserve">Estimo por mi parte que en materia de derechos puede pensarse a la interpretación extensiva como aquella que maximiza el alcance y el contenido de un derecho constitucional a los fines de proteger a un sujeto activo del derecho, y a la interpretación restrictiva como aquella que limita el contenido y alcance de un derecho constitucional a los fines de que no se aplique o beneficie al sujeto activo en un caso determinado. </w:t>
      </w:r>
    </w:p>
    <w:p w14:paraId="231DB25D" w14:textId="39F822A3" w:rsidR="004160A4" w:rsidRPr="00161102" w:rsidRDefault="004160A4" w:rsidP="004160A4">
      <w:pPr>
        <w:spacing w:after="0" w:line="360" w:lineRule="auto"/>
        <w:rPr>
          <w:rFonts w:ascii="Verdana" w:eastAsia="Times New Roman" w:hAnsi="Verdana" w:cs="Arial"/>
          <w:sz w:val="24"/>
          <w:szCs w:val="24"/>
          <w:lang w:val="es-ES" w:eastAsia="es-ES"/>
        </w:rPr>
      </w:pPr>
      <w:r w:rsidRPr="00161102">
        <w:rPr>
          <w:rFonts w:ascii="Verdana" w:eastAsia="Times New Roman" w:hAnsi="Verdana" w:cs="Arial"/>
          <w:sz w:val="24"/>
          <w:szCs w:val="24"/>
          <w:lang w:val="es-ES" w:eastAsia="es-ES"/>
        </w:rPr>
        <w:lastRenderedPageBreak/>
        <w:t>La interpretación extensiva y la restrictiva son, en realidad, el resultado de la utilización de algún método hermenéutico previo que nos conduce a ese resultado. Y por ende pueden verse como la consecuencia de la argumentación o interpretación previa.</w:t>
      </w:r>
      <w:r>
        <w:rPr>
          <w:rFonts w:ascii="Verdana" w:eastAsia="Times New Roman" w:hAnsi="Verdana" w:cs="Arial"/>
          <w:sz w:val="24"/>
          <w:szCs w:val="24"/>
          <w:lang w:val="es-ES" w:eastAsia="es-ES"/>
        </w:rPr>
        <w:t xml:space="preserve"> La argumentación o interpretación es la herramienta y el carácter restrictivo o extensivo de la decisión su resultado. </w:t>
      </w:r>
    </w:p>
    <w:p w14:paraId="0E671ED1" w14:textId="77777777" w:rsidR="004160A4" w:rsidRPr="004160A4" w:rsidRDefault="004160A4" w:rsidP="00AE689A">
      <w:pPr>
        <w:spacing w:after="0" w:line="360" w:lineRule="auto"/>
        <w:rPr>
          <w:rFonts w:ascii="Verdana" w:eastAsia="Times New Roman" w:hAnsi="Verdana" w:cs="Arial"/>
          <w:sz w:val="24"/>
          <w:szCs w:val="24"/>
          <w:lang w:val="es-ES" w:eastAsia="es-ES"/>
        </w:rPr>
      </w:pPr>
    </w:p>
    <w:p w14:paraId="3F1BD172" w14:textId="77777777" w:rsidR="00186518" w:rsidRPr="00186518" w:rsidRDefault="00186518" w:rsidP="00AE689A">
      <w:pPr>
        <w:spacing w:after="0" w:line="360" w:lineRule="auto"/>
        <w:rPr>
          <w:rFonts w:ascii="Verdana" w:eastAsia="Times New Roman" w:hAnsi="Verdana" w:cs="Arial"/>
          <w:sz w:val="24"/>
          <w:szCs w:val="24"/>
          <w:lang w:val="es-ES" w:eastAsia="es-ES"/>
        </w:rPr>
      </w:pPr>
    </w:p>
    <w:p w14:paraId="347AC955" w14:textId="7510E851" w:rsidR="00186518" w:rsidRPr="000178E8" w:rsidRDefault="000178E8" w:rsidP="00AE689A">
      <w:pPr>
        <w:spacing w:after="0" w:line="360" w:lineRule="auto"/>
        <w:rPr>
          <w:rFonts w:ascii="Verdana" w:eastAsia="Times New Roman" w:hAnsi="Verdana" w:cs="Arial"/>
          <w:sz w:val="24"/>
          <w:szCs w:val="24"/>
          <w:lang w:val="es-ES" w:eastAsia="es-ES"/>
        </w:rPr>
      </w:pPr>
      <w:r w:rsidRPr="000178E8">
        <w:rPr>
          <w:rFonts w:ascii="Verdana" w:eastAsia="Times New Roman" w:hAnsi="Verdana" w:cs="Arial"/>
          <w:b/>
          <w:bCs/>
          <w:sz w:val="24"/>
          <w:szCs w:val="24"/>
          <w:lang w:val="es-ES" w:eastAsia="es-ES"/>
        </w:rPr>
        <w:t>SEGUNDA PARTE:</w:t>
      </w:r>
      <w:r>
        <w:rPr>
          <w:rFonts w:ascii="Verdana" w:eastAsia="Times New Roman" w:hAnsi="Verdana" w:cs="Arial"/>
          <w:sz w:val="24"/>
          <w:szCs w:val="24"/>
          <w:lang w:val="es-ES" w:eastAsia="es-ES"/>
        </w:rPr>
        <w:t xml:space="preserve"> </w:t>
      </w:r>
      <w:r w:rsidR="00186518" w:rsidRPr="00186518">
        <w:rPr>
          <w:rFonts w:ascii="Verdana" w:eastAsia="Times New Roman" w:hAnsi="Verdana" w:cs="Arial"/>
          <w:b/>
          <w:bCs/>
          <w:sz w:val="24"/>
          <w:szCs w:val="24"/>
          <w:lang w:val="es-ES" w:eastAsia="es-ES"/>
        </w:rPr>
        <w:t>ANÁLISIS DE SENTENCIAS DE LA CORTE SUPREMA DE JUSTICIA DE LA NACIÓN SOBRE DERECHOS ECONÓMICOS, SOCIALES Y CULTURALES</w:t>
      </w:r>
    </w:p>
    <w:p w14:paraId="658A8191" w14:textId="77777777" w:rsidR="00186518" w:rsidRPr="00186518" w:rsidRDefault="00186518" w:rsidP="00AE689A">
      <w:pPr>
        <w:spacing w:after="0" w:line="360" w:lineRule="auto"/>
        <w:rPr>
          <w:rFonts w:ascii="Verdana" w:eastAsia="Times New Roman" w:hAnsi="Verdana" w:cs="Arial"/>
          <w:b/>
          <w:bCs/>
          <w:sz w:val="24"/>
          <w:szCs w:val="24"/>
          <w:lang w:val="es-ES" w:eastAsia="es-ES"/>
        </w:rPr>
      </w:pPr>
    </w:p>
    <w:p w14:paraId="78A9FD62" w14:textId="12A0B6F6" w:rsidR="00186518" w:rsidRDefault="00812713" w:rsidP="00AE689A">
      <w:pPr>
        <w:spacing w:after="0" w:line="360" w:lineRule="auto"/>
        <w:rPr>
          <w:rFonts w:ascii="Verdana" w:eastAsia="Times New Roman" w:hAnsi="Verdana" w:cs="Arial"/>
          <w:sz w:val="24"/>
          <w:szCs w:val="24"/>
          <w:lang w:val="es-ES" w:eastAsia="es-ES"/>
        </w:rPr>
      </w:pPr>
      <w:r>
        <w:rPr>
          <w:rFonts w:ascii="Verdana" w:eastAsia="Times New Roman" w:hAnsi="Verdana" w:cs="Arial"/>
          <w:sz w:val="24"/>
          <w:szCs w:val="24"/>
          <w:lang w:val="es-ES" w:eastAsia="es-ES"/>
        </w:rPr>
        <w:t xml:space="preserve">La idea de esta segunda parte es presentar algunos casos relacionados con los derechos económicos, sociales y culturales para poder apreciar los argumentos y criterios interpretativos esgrimidos por la Corte Suprema a lo largo del tiempo. En este sentido hemos elegido fallos previos y posteriores a la Reforma Constitucional de 1994, considerando que dicha modificación ha producido un cambio relevante en términos hermenéuticos al otorgarle jerarquía constitucional a normas provenientes del Derecho Internacional de los Derechos Humanos (art. 75 inciso 22 CN). </w:t>
      </w:r>
      <w:r w:rsidR="00EA0F01">
        <w:rPr>
          <w:rFonts w:ascii="Verdana" w:eastAsia="Times New Roman" w:hAnsi="Verdana" w:cs="Arial"/>
          <w:sz w:val="24"/>
          <w:szCs w:val="24"/>
          <w:lang w:val="es-ES" w:eastAsia="es-ES"/>
        </w:rPr>
        <w:t xml:space="preserve">De cada fallo se reseñarán los hechos, las normas y derechos en juego, los principales argumentos y directivas interpretativas y también se aludirá al carácter restrictivo o expansivo de la interpretación. </w:t>
      </w:r>
    </w:p>
    <w:p w14:paraId="03B83266" w14:textId="4C722DB9" w:rsidR="00656DBF" w:rsidRDefault="00656DBF" w:rsidP="00AE689A">
      <w:pPr>
        <w:spacing w:after="0" w:line="360" w:lineRule="auto"/>
        <w:rPr>
          <w:rFonts w:ascii="Verdana" w:eastAsia="Times New Roman" w:hAnsi="Verdana" w:cs="Arial"/>
          <w:sz w:val="24"/>
          <w:szCs w:val="24"/>
          <w:lang w:val="es-ES" w:eastAsia="es-ES"/>
        </w:rPr>
      </w:pPr>
    </w:p>
    <w:p w14:paraId="4ABD6886" w14:textId="77777777" w:rsidR="00F75304" w:rsidRDefault="00F75304">
      <w:pPr>
        <w:rPr>
          <w:rFonts w:ascii="Verdana" w:eastAsia="Times New Roman" w:hAnsi="Verdana" w:cs="Arial"/>
          <w:b/>
          <w:bCs/>
          <w:sz w:val="24"/>
          <w:szCs w:val="24"/>
          <w:lang w:val="es-ES" w:eastAsia="es-ES"/>
        </w:rPr>
      </w:pPr>
      <w:r>
        <w:rPr>
          <w:rFonts w:ascii="Verdana" w:eastAsia="Times New Roman" w:hAnsi="Verdana" w:cs="Arial"/>
          <w:b/>
          <w:bCs/>
          <w:sz w:val="24"/>
          <w:szCs w:val="24"/>
          <w:lang w:val="es-ES" w:eastAsia="es-ES"/>
        </w:rPr>
        <w:br w:type="page"/>
      </w:r>
    </w:p>
    <w:p w14:paraId="5350F4A9" w14:textId="78BECCA2" w:rsidR="00656DBF" w:rsidRPr="00414624" w:rsidRDefault="00656DBF" w:rsidP="00656DBF">
      <w:pPr>
        <w:spacing w:after="0" w:line="360" w:lineRule="auto"/>
        <w:rPr>
          <w:rFonts w:ascii="Verdana" w:eastAsia="Times New Roman" w:hAnsi="Verdana" w:cs="Arial"/>
          <w:b/>
          <w:bCs/>
          <w:sz w:val="24"/>
          <w:szCs w:val="24"/>
          <w:lang w:val="es-ES" w:eastAsia="es-ES"/>
        </w:rPr>
      </w:pPr>
      <w:r w:rsidRPr="00414624">
        <w:rPr>
          <w:rFonts w:ascii="Verdana" w:eastAsia="Times New Roman" w:hAnsi="Verdana" w:cs="Arial"/>
          <w:b/>
          <w:bCs/>
          <w:sz w:val="24"/>
          <w:szCs w:val="24"/>
          <w:lang w:val="es-ES" w:eastAsia="es-ES"/>
        </w:rPr>
        <w:lastRenderedPageBreak/>
        <w:t>1.SENTENCIAS PREVIAS A LA REFORMA CONSTITUCIONAL DE 1994</w:t>
      </w:r>
    </w:p>
    <w:p w14:paraId="05A1FD0B" w14:textId="4E769360" w:rsidR="00186518" w:rsidRPr="00186518" w:rsidRDefault="00186518" w:rsidP="00AE689A">
      <w:pPr>
        <w:spacing w:after="0" w:line="360" w:lineRule="auto"/>
        <w:rPr>
          <w:rFonts w:ascii="Verdana" w:eastAsia="Times New Roman" w:hAnsi="Verdana" w:cs="Arial"/>
          <w:sz w:val="24"/>
          <w:szCs w:val="24"/>
          <w:lang w:val="es-ES" w:eastAsia="es-ES"/>
        </w:rPr>
      </w:pPr>
    </w:p>
    <w:p w14:paraId="32755129" w14:textId="67655463" w:rsidR="00186518" w:rsidRDefault="00186518" w:rsidP="00AE689A">
      <w:pPr>
        <w:spacing w:after="0" w:line="360" w:lineRule="auto"/>
        <w:rPr>
          <w:rFonts w:ascii="Verdana" w:eastAsia="Times New Roman" w:hAnsi="Verdana" w:cs="Arial"/>
          <w:b/>
          <w:bCs/>
          <w:sz w:val="24"/>
          <w:szCs w:val="24"/>
          <w:lang w:val="es-ES" w:eastAsia="es-ES"/>
        </w:rPr>
      </w:pPr>
      <w:r w:rsidRPr="00054848">
        <w:rPr>
          <w:rFonts w:ascii="Verdana" w:eastAsia="Times New Roman" w:hAnsi="Verdana" w:cs="Arial"/>
          <w:b/>
          <w:bCs/>
          <w:sz w:val="24"/>
          <w:szCs w:val="24"/>
          <w:lang w:val="es-ES" w:eastAsia="es-ES"/>
        </w:rPr>
        <w:t>Hileret y Rodríguez c/ Provincia de Tucumán (1903)</w:t>
      </w:r>
      <w:r w:rsidR="00054848">
        <w:rPr>
          <w:rFonts w:ascii="Verdana" w:eastAsia="Times New Roman" w:hAnsi="Verdana" w:cs="Arial"/>
          <w:b/>
          <w:bCs/>
          <w:sz w:val="24"/>
          <w:szCs w:val="24"/>
          <w:lang w:val="es-ES" w:eastAsia="es-ES"/>
        </w:rPr>
        <w:t>: el criterio estático u originalista</w:t>
      </w:r>
    </w:p>
    <w:p w14:paraId="35634FC1" w14:textId="77777777" w:rsidR="00FC407B" w:rsidRPr="00054848" w:rsidRDefault="00FC407B" w:rsidP="00AE689A">
      <w:pPr>
        <w:spacing w:after="0" w:line="360" w:lineRule="auto"/>
        <w:rPr>
          <w:rFonts w:ascii="Verdana" w:eastAsia="Times New Roman" w:hAnsi="Verdana" w:cs="Arial"/>
          <w:b/>
          <w:bCs/>
          <w:sz w:val="24"/>
          <w:szCs w:val="24"/>
          <w:lang w:val="es-ES" w:eastAsia="es-ES"/>
        </w:rPr>
      </w:pPr>
    </w:p>
    <w:p w14:paraId="59B75448" w14:textId="530A383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Como ejemplo de interpretación originalista, apegada a al texto de la Constitución </w:t>
      </w:r>
      <w:r w:rsidR="00054848">
        <w:rPr>
          <w:rFonts w:ascii="Verdana" w:eastAsia="Times New Roman" w:hAnsi="Verdana" w:cs="Arial"/>
          <w:sz w:val="24"/>
          <w:szCs w:val="24"/>
          <w:lang w:val="es-ES" w:eastAsia="es-ES"/>
        </w:rPr>
        <w:t>histórica</w:t>
      </w:r>
      <w:r w:rsidRPr="00186518">
        <w:rPr>
          <w:rFonts w:ascii="Verdana" w:eastAsia="Times New Roman" w:hAnsi="Verdana" w:cs="Arial"/>
          <w:sz w:val="24"/>
          <w:szCs w:val="24"/>
          <w:lang w:val="es-ES" w:eastAsia="es-ES"/>
        </w:rPr>
        <w:t>, podemos analizar el caso “Hileret y Rodríguez c/ Provincia de Tucumán”, del año 1903 (Fallos: 98:20). El tema se relaciona con derechos de tipo económico</w:t>
      </w:r>
      <w:r w:rsidRPr="00186518">
        <w:rPr>
          <w:rFonts w:ascii="Verdana" w:eastAsia="Times New Roman" w:hAnsi="Verdana" w:cs="Arial"/>
          <w:sz w:val="24"/>
          <w:szCs w:val="24"/>
          <w:vertAlign w:val="superscript"/>
          <w:lang w:val="es-ES" w:eastAsia="es-ES"/>
        </w:rPr>
        <w:footnoteReference w:id="131"/>
      </w:r>
      <w:r w:rsidRPr="00186518">
        <w:rPr>
          <w:rFonts w:ascii="Verdana" w:eastAsia="Times New Roman" w:hAnsi="Verdana" w:cs="Arial"/>
          <w:sz w:val="24"/>
          <w:szCs w:val="24"/>
          <w:lang w:val="es-ES" w:eastAsia="es-ES"/>
        </w:rPr>
        <w:t xml:space="preserve">. Los hechos eran los siguientes: una ley de dicha provincia había creado un impuesto adicional sobre la producción de azúcar del año 1902, cuya alícuota se incrementaba si se excedía cierto nivel de producción, con el objetivo de limitar la producción de los ingenios. Además, la ley disponía que el producido del impuesto se distribuiría entre los productores que no hubieran podido vender la totalidad de su cosecha. La medida fue considerada intervencionista y lesiva de los artículos 10, 14, 16, 20 y 28 de la CN por el actor. El impuesto se apartaba de la idea liberal clásica planeada por el constituyente de 1853-60 y reglamentaba derechos patrimoniales en función del interés social yendo más allá de la noción de poder de policía restringido. </w:t>
      </w:r>
    </w:p>
    <w:p w14:paraId="69292572" w14:textId="1F59DCF5"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El mismo sólo justificaba la restricción de los derechos constitucionales civiles por razones de cuestiones de salubridad, seguridad y moralidad. El fallo se dictó el 20 de septiembre de 1903, no tuvo disidencias y fue suscripto por Abel Bazán, Octavio Bunge, Nicanor G. Del Solar, M.P. Daract y Antonio Bermejo. En su decisión, la Corte separa lo relacionado con la oportunidad y mérito de la ley en términos económicos, de lo </w:t>
      </w:r>
      <w:r w:rsidRPr="00186518">
        <w:rPr>
          <w:rFonts w:ascii="Verdana" w:eastAsia="Times New Roman" w:hAnsi="Verdana" w:cs="Arial"/>
          <w:sz w:val="24"/>
          <w:szCs w:val="24"/>
          <w:lang w:val="es-ES" w:eastAsia="es-ES"/>
        </w:rPr>
        <w:lastRenderedPageBreak/>
        <w:t xml:space="preserve">estrictamente jurídico. Y decide que su competencia debe limitarse a analizar solamente esto último (considerando 2°). Sin embargo, en el considerando 3°, el Alto Tribunal opina sobre la conveniencia y oportunidad de la norma, y la estima desacertada, ya que en realidad permite proteger a algunos empresarios que han tomado decisiones incorrectas con el esfuerzo de toda la población. </w:t>
      </w:r>
    </w:p>
    <w:p w14:paraId="6A8E77B4" w14:textId="18D19068"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Seguidamente, a partir de los considerandos 7° y siguientes</w:t>
      </w:r>
      <w:r w:rsidR="00874ACB">
        <w:rPr>
          <w:rFonts w:ascii="Verdana" w:eastAsia="Times New Roman" w:hAnsi="Verdana" w:cs="Arial"/>
          <w:sz w:val="24"/>
          <w:szCs w:val="24"/>
          <w:lang w:val="es-ES" w:eastAsia="es-ES"/>
        </w:rPr>
        <w:t xml:space="preserve">, </w:t>
      </w:r>
      <w:r w:rsidRPr="00186518">
        <w:rPr>
          <w:rFonts w:ascii="Verdana" w:eastAsia="Times New Roman" w:hAnsi="Verdana" w:cs="Arial"/>
          <w:sz w:val="24"/>
          <w:szCs w:val="24"/>
          <w:lang w:val="es-ES" w:eastAsia="es-ES"/>
        </w:rPr>
        <w:t xml:space="preserve">estima que la norma cuestionada es contraria a los artículos 14 y 16 de la Constitución, ya que limita en forma irrazonable y excesiva el derecho de trabajar y ejercer industria lícita, y el de comerciar, por un lado, y la igualdad como base de las cargas tributarias, por otro. Esta norma no puede tampoco de ningún modo fundarse en la autonomía de las provincias, tal como argumentaba la demandada, ya que las autonomías provinciales no pueden ser fundamento para dictar normas que restrinjan indebidamente los derechos constitucionales. </w:t>
      </w:r>
    </w:p>
    <w:p w14:paraId="769326CE"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Y es en el considerando 15 donde encontramos expresado con prístina claridad el argumento originalista en el fallo, que vale la pena transcribir: “Que hay error en atribuir a las declaraciones y garantías contenidas en la primera parte, capitulo único de la Constitución, el alcance de restricciones tan sólo a los poderes públicos nacionales, bajo la influencia de teorías y precedentes que no están en armonía con las fuentes inmediatas de la ley fundamental con algunas disposiciones peculiares de ella, con las necesidades y anhelos de la época en que se dictó y con la inteligencia que se le ha dado en 'documentos históricos y numerosos fallos. Omitiendo, en efecto, otros, bastaría recordar a este respecto el informe de la comisión encargada de formular un proyecto de Constitución en la primera Convención Nacional de Santa Fe'. La comisión, se dice en ese informe, se ha preocupado especialmente de la resolución de ese problema ¿cómo hacer para que el gobierno federal </w:t>
      </w:r>
      <w:r w:rsidRPr="00186518">
        <w:rPr>
          <w:rFonts w:ascii="Verdana" w:eastAsia="Times New Roman" w:hAnsi="Verdana" w:cs="Arial"/>
          <w:sz w:val="24"/>
          <w:szCs w:val="24"/>
          <w:lang w:val="es-ES" w:eastAsia="es-ES"/>
        </w:rPr>
        <w:lastRenderedPageBreak/>
        <w:t xml:space="preserve">proporcione a la Nación respeto y reputación exterior, paz interna desenvolvimiento del comercio, de la industria y la población? </w:t>
      </w:r>
    </w:p>
    <w:p w14:paraId="064494B1" w14:textId="4186394F"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La comisión ha creído resolverlo por los medios consagrados en las declaraciones y garantías. Nuestra situación es dolorosa por retrógrada. Es preciso que la práctica del régimen constitucional a que aspiramos</w:t>
      </w:r>
      <w:r w:rsidR="002B0B90">
        <w:rPr>
          <w:rFonts w:ascii="Verdana" w:eastAsia="Times New Roman" w:hAnsi="Verdana" w:cs="Arial"/>
          <w:sz w:val="24"/>
          <w:szCs w:val="24"/>
          <w:lang w:val="es-ES" w:eastAsia="es-ES"/>
        </w:rPr>
        <w:t xml:space="preserve"> </w:t>
      </w:r>
      <w:r w:rsidRPr="00186518">
        <w:rPr>
          <w:rFonts w:ascii="Verdana" w:eastAsia="Times New Roman" w:hAnsi="Verdana" w:cs="Arial"/>
          <w:sz w:val="24"/>
          <w:szCs w:val="24"/>
          <w:lang w:val="es-ES" w:eastAsia="es-ES"/>
        </w:rPr>
        <w:t xml:space="preserve">dé cuando menos para nuestros sucesores, seguridad a la vida y propiedades, medios de trabajo, precio a nuestras tierras y productos y facilidades para comerciar con los pueblos extranjeros de cuyos artefactos y ciencias carecemos... Por último, el proyecto que la comisión tiene la honra de someter a examen de V.H. no es obra exclusivamente de ella. Es la obra del pensamiento argentino manifestado por sus publicistas... (Congreso General Constituyente de Santa Fe. Sesión de 18/4/1853).” La Corte continúa con su razonamiento en los considerandos siguientes, </w:t>
      </w:r>
      <w:r w:rsidR="00B61B5C">
        <w:rPr>
          <w:rFonts w:ascii="Verdana" w:eastAsia="Times New Roman" w:hAnsi="Verdana" w:cs="Arial"/>
          <w:sz w:val="24"/>
          <w:szCs w:val="24"/>
          <w:lang w:val="es-ES" w:eastAsia="es-ES"/>
        </w:rPr>
        <w:t>mencionando</w:t>
      </w:r>
      <w:r w:rsidR="002B14AD">
        <w:rPr>
          <w:rFonts w:ascii="Verdana" w:eastAsia="Times New Roman" w:hAnsi="Verdana" w:cs="Arial"/>
          <w:sz w:val="24"/>
          <w:szCs w:val="24"/>
          <w:lang w:val="es-ES" w:eastAsia="es-ES"/>
        </w:rPr>
        <w:t xml:space="preserve"> </w:t>
      </w:r>
      <w:r w:rsidRPr="00186518">
        <w:rPr>
          <w:rFonts w:ascii="Verdana" w:eastAsia="Times New Roman" w:hAnsi="Verdana" w:cs="Arial"/>
          <w:sz w:val="24"/>
          <w:szCs w:val="24"/>
          <w:lang w:val="es-ES" w:eastAsia="es-ES"/>
        </w:rPr>
        <w:t xml:space="preserve">las ideas de Alberdi (considerando 16 y 17, argumento doctrinario). Señala finalmente que, de hacerse extensivo el criterio de la ley, no habría actividad comercial o industrial que no pudiera regularse o coartarse, restringiendo derechos constitucionales (considerando 23). </w:t>
      </w:r>
    </w:p>
    <w:p w14:paraId="1008F47D" w14:textId="1B81C07D"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Finalmente, en función de dichos argumentos, la ley de la provincia de Tucumán es tachada de inconstitucional. Como puede apreciarse, el fallo realiza una férrea defensa del liberalismo económico, y, apela al originalismo para justificar su decisión.  </w:t>
      </w:r>
    </w:p>
    <w:p w14:paraId="30EF9980" w14:textId="77777777" w:rsidR="00186518" w:rsidRPr="00186518" w:rsidRDefault="00186518" w:rsidP="00AE689A">
      <w:pPr>
        <w:spacing w:after="0" w:line="360" w:lineRule="auto"/>
        <w:rPr>
          <w:rFonts w:ascii="Verdana" w:eastAsia="Times New Roman" w:hAnsi="Verdana" w:cs="Arial"/>
          <w:sz w:val="24"/>
          <w:szCs w:val="24"/>
          <w:lang w:val="es-ES" w:eastAsia="es-ES"/>
        </w:rPr>
      </w:pPr>
    </w:p>
    <w:p w14:paraId="72E07E17" w14:textId="3DF76745" w:rsidR="00186518" w:rsidRDefault="00186518" w:rsidP="00AE689A">
      <w:pPr>
        <w:spacing w:after="0" w:line="360" w:lineRule="auto"/>
        <w:rPr>
          <w:rFonts w:ascii="Verdana" w:eastAsia="Times New Roman" w:hAnsi="Verdana" w:cs="Arial"/>
          <w:b/>
          <w:bCs/>
          <w:sz w:val="24"/>
          <w:szCs w:val="24"/>
          <w:lang w:val="es-ES" w:eastAsia="es-ES"/>
        </w:rPr>
      </w:pPr>
      <w:r w:rsidRPr="00714993">
        <w:rPr>
          <w:rFonts w:ascii="Verdana" w:eastAsia="Times New Roman" w:hAnsi="Verdana" w:cs="Arial"/>
          <w:b/>
          <w:bCs/>
          <w:sz w:val="24"/>
          <w:szCs w:val="24"/>
          <w:lang w:val="es-ES" w:eastAsia="es-ES"/>
        </w:rPr>
        <w:t>Santos Martínez (1930)</w:t>
      </w:r>
      <w:r w:rsidR="00764733">
        <w:rPr>
          <w:rFonts w:ascii="Verdana" w:eastAsia="Times New Roman" w:hAnsi="Verdana" w:cs="Arial"/>
          <w:b/>
          <w:bCs/>
          <w:sz w:val="24"/>
          <w:szCs w:val="24"/>
          <w:lang w:val="es-ES" w:eastAsia="es-ES"/>
        </w:rPr>
        <w:t>: criterio dinámico o constructivista en materia laboral</w:t>
      </w:r>
      <w:r w:rsidR="00D20BB1">
        <w:rPr>
          <w:rFonts w:ascii="Verdana" w:eastAsia="Times New Roman" w:hAnsi="Verdana" w:cs="Arial"/>
          <w:b/>
          <w:bCs/>
          <w:sz w:val="24"/>
          <w:szCs w:val="24"/>
          <w:lang w:val="es-ES" w:eastAsia="es-ES"/>
        </w:rPr>
        <w:t>. Una mirada extensiva</w:t>
      </w:r>
    </w:p>
    <w:p w14:paraId="574198D5" w14:textId="77777777" w:rsidR="00FC407B" w:rsidRPr="00714993" w:rsidRDefault="00FC407B" w:rsidP="00AE689A">
      <w:pPr>
        <w:spacing w:after="0" w:line="360" w:lineRule="auto"/>
        <w:rPr>
          <w:rFonts w:ascii="Verdana" w:eastAsia="Times New Roman" w:hAnsi="Verdana" w:cs="Arial"/>
          <w:b/>
          <w:bCs/>
          <w:sz w:val="24"/>
          <w:szCs w:val="24"/>
          <w:lang w:val="es-ES" w:eastAsia="es-ES"/>
        </w:rPr>
      </w:pPr>
    </w:p>
    <w:p w14:paraId="29523A35" w14:textId="2D482941"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En la Historia Constitucional Argentina, el Constitucionalismo Social y sus principios tuvieron una incorporación a través de la jurisprudencia de la Corte y la legislación del Congreso durante las décadas de 1920 a 1940, antes de su recepción expresas en las normas constitucionales. Y </w:t>
      </w:r>
      <w:r w:rsidRPr="00186518">
        <w:rPr>
          <w:rFonts w:ascii="Verdana" w:eastAsia="Times New Roman" w:hAnsi="Verdana" w:cs="Arial"/>
          <w:sz w:val="24"/>
          <w:szCs w:val="24"/>
          <w:lang w:val="es-ES" w:eastAsia="es-ES"/>
        </w:rPr>
        <w:lastRenderedPageBreak/>
        <w:t>justamente esa recepción jurisprudencial es un claro ejemplo de interpretación dinámica de la Constitución, ya que se le da un nuevo significado a los principios constitucionales consagrados en la Constitución Histórica de 1853-60 sin que haya una reforma constitucional. La importancia de la jurisprudencia en este proceso es destacada por Pablo Manili, quien señala que: “...entre las leyes del Congreso y la jurisprudencia de la Corte existe una retroalimentación continua y la convalidación de una ley o su declaración de inconstitucionalidad tiene incidencia en la conducta del Congreso, el cual profundizará una determinada política si es convalidada por la Corte o la morigerará si no lo es.”</w:t>
      </w:r>
      <w:r w:rsidRPr="00186518">
        <w:rPr>
          <w:rFonts w:ascii="Verdana" w:eastAsia="Times New Roman" w:hAnsi="Verdana" w:cs="Arial"/>
          <w:sz w:val="24"/>
          <w:szCs w:val="24"/>
          <w:vertAlign w:val="superscript"/>
          <w:lang w:val="es-ES" w:eastAsia="es-ES"/>
        </w:rPr>
        <w:footnoteReference w:id="132"/>
      </w:r>
      <w:r w:rsidRPr="00186518">
        <w:rPr>
          <w:rFonts w:ascii="Verdana" w:eastAsia="Times New Roman" w:hAnsi="Verdana" w:cs="Arial"/>
          <w:sz w:val="24"/>
          <w:szCs w:val="24"/>
          <w:lang w:val="es-ES" w:eastAsia="es-ES"/>
        </w:rPr>
        <w:t xml:space="preserve"> </w:t>
      </w:r>
    </w:p>
    <w:p w14:paraId="528FD4DA"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Por ejemplo, en el caso “Santos Martínez, querella seguida en su contra por infracción a la ley 4661” (Fallos: 157:28), la Corte trató la cuestión de la constitucionalidad de una ley laboral que consagraba el descanso dominical. El Departamento Nacional de Trabajo había impuesto una multa a Martínez, dueño de un almacén de despacho de bebidas, por violar dicha norma, y en el marco del proceso se cuestiona la constitucionalidad de la ley que consagraba este derecho por ser violatorio de los derechos 14 y 16 de la Constitución Nacional. Estaba cuestionado entonces el derecho de trabajar y el principio de igualdad ante la ley. La Corte decidió la cuestión con la firma de los Doctores Figueroa Alcorta, Guido Lavalle y Sagarna. El Alto Tribunal  decidió rechazar la solicitud de inconstitucionalidad fundando su sentencia en el poder de policía en materia de salubridad y moralidad que posee Congreso, citando jurisprudencia estadounidense, por un lado, y en que la norma cuestionada no es irrazonable ni arbitraria porque la regulación del tema no es de ninguna manera ajena al legislador y lo decidido es </w:t>
      </w:r>
      <w:r w:rsidRPr="00186518">
        <w:rPr>
          <w:rFonts w:ascii="Verdana" w:eastAsia="Times New Roman" w:hAnsi="Verdana" w:cs="Arial"/>
          <w:sz w:val="24"/>
          <w:szCs w:val="24"/>
          <w:lang w:val="es-ES" w:eastAsia="es-ES"/>
        </w:rPr>
        <w:lastRenderedPageBreak/>
        <w:t xml:space="preserve">una razonable regulación de un tema que no se encuentra totalmente enmarcado en el ámbito privado sino que es de orden público. </w:t>
      </w:r>
    </w:p>
    <w:p w14:paraId="72E5819D"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La Corte en esta oportunidad entonces convalidó limitaciones al derecho de trabajar fundada en razones de orden público, avanzando en la regulación de un tema que podría haber sido cuestionado si se siguiera el criterio liberal ortodoxo sostenido en otras oportunidades, como en el caso “Hileret” años antes. De cualquier modo, atento a la naturaleza de la cuestión, podría haber sido más sencillo decidir de esta manera ya que el descanso dominical tiene raíces religiosas y por ende no era necesario hacer una hermenéutica innovadora para darle cabida. </w:t>
      </w:r>
    </w:p>
    <w:p w14:paraId="69AA5CBE" w14:textId="6DA185DD"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Hay importante jurisprudencia de la Corte en materia de limitación de la propiedad por razones de bien común que puede relacionarse con el surgimiento del Constitucionalismo Social por vía de interpretación dinámica. Sin embargo, debe tenerse presente que esta jurisprudencia convalidó normativa regulatoria siempre bajo el carácter de norma de emergencia, vale decir, con carácter de excepcional en virtud de ciertas circunstancias fácticas, y por tiempo limitado o determinado. Nos encontramos puntualmente en este caso con una hermenéutica extensiva de los derechos sociales (del trabajador individual) y una interpretación dinámica de la Constitución Nacional, que se aparta de los precedentes en la materia. También hay una interpretación extensiva del alcance del poder de policía en materia de reglamentación de los derechos constitucionales. </w:t>
      </w:r>
      <w:r w:rsidR="000025E4">
        <w:rPr>
          <w:rFonts w:ascii="Verdana" w:eastAsia="Times New Roman" w:hAnsi="Verdana" w:cs="Arial"/>
          <w:sz w:val="24"/>
          <w:szCs w:val="24"/>
          <w:lang w:val="es-ES" w:eastAsia="es-ES"/>
        </w:rPr>
        <w:t xml:space="preserve">El fallo tiene una visión extensiva en materia de derechos sociales. </w:t>
      </w:r>
    </w:p>
    <w:p w14:paraId="46DBDAFF" w14:textId="3FF90224" w:rsidR="00186518" w:rsidRPr="00186518" w:rsidRDefault="00186518" w:rsidP="00AE689A">
      <w:pPr>
        <w:spacing w:after="0" w:line="360" w:lineRule="auto"/>
        <w:rPr>
          <w:rFonts w:ascii="Verdana" w:eastAsia="Times New Roman" w:hAnsi="Verdana" w:cs="Arial"/>
          <w:sz w:val="24"/>
          <w:szCs w:val="24"/>
          <w:lang w:val="es-ES" w:eastAsia="es-ES"/>
        </w:rPr>
      </w:pPr>
    </w:p>
    <w:p w14:paraId="7B6D538E" w14:textId="0A910A42" w:rsidR="00186518" w:rsidRDefault="00186518" w:rsidP="00AE689A">
      <w:pPr>
        <w:spacing w:after="0" w:line="360" w:lineRule="auto"/>
        <w:rPr>
          <w:rFonts w:ascii="Verdana" w:eastAsia="Times New Roman" w:hAnsi="Verdana" w:cs="Arial"/>
          <w:b/>
          <w:bCs/>
          <w:sz w:val="24"/>
          <w:szCs w:val="24"/>
          <w:lang w:val="es-ES" w:eastAsia="es-ES"/>
        </w:rPr>
      </w:pPr>
      <w:r w:rsidRPr="002A024A">
        <w:rPr>
          <w:rFonts w:ascii="Verdana" w:eastAsia="Times New Roman" w:hAnsi="Verdana" w:cs="Arial"/>
          <w:b/>
          <w:bCs/>
          <w:sz w:val="24"/>
          <w:szCs w:val="24"/>
          <w:lang w:val="es-ES" w:eastAsia="es-ES"/>
        </w:rPr>
        <w:t>Avico, Oscar Agustín c/ De la Pesa, Saúl (1934)</w:t>
      </w:r>
      <w:r w:rsidR="002A024A">
        <w:rPr>
          <w:rFonts w:ascii="Verdana" w:eastAsia="Times New Roman" w:hAnsi="Verdana" w:cs="Arial"/>
          <w:b/>
          <w:bCs/>
          <w:sz w:val="24"/>
          <w:szCs w:val="24"/>
          <w:lang w:val="es-ES" w:eastAsia="es-ES"/>
        </w:rPr>
        <w:t>: criterio dinámico o constructivista en materia económica</w:t>
      </w:r>
    </w:p>
    <w:p w14:paraId="79434882" w14:textId="77777777" w:rsidR="00FC407B" w:rsidRPr="002A024A" w:rsidRDefault="00FC407B" w:rsidP="00AE689A">
      <w:pPr>
        <w:spacing w:after="0" w:line="360" w:lineRule="auto"/>
        <w:rPr>
          <w:rFonts w:ascii="Verdana" w:eastAsia="Times New Roman" w:hAnsi="Verdana" w:cs="Arial"/>
          <w:b/>
          <w:bCs/>
          <w:sz w:val="24"/>
          <w:szCs w:val="24"/>
          <w:lang w:val="es-ES" w:eastAsia="es-ES"/>
        </w:rPr>
      </w:pPr>
    </w:p>
    <w:p w14:paraId="2C2B7682" w14:textId="5FC30086"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Otro ejemplo paradigmático de esta jurisprudencia es el caso “Avico, Oscar Agustín c/ De la Pesa, Saúl C. S.” (Fallos: 172:21). En dicha </w:t>
      </w:r>
      <w:r w:rsidRPr="00186518">
        <w:rPr>
          <w:rFonts w:ascii="Verdana" w:eastAsia="Times New Roman" w:hAnsi="Verdana" w:cs="Arial"/>
          <w:sz w:val="24"/>
          <w:szCs w:val="24"/>
          <w:lang w:val="es-ES" w:eastAsia="es-ES"/>
        </w:rPr>
        <w:lastRenderedPageBreak/>
        <w:t xml:space="preserve">causa se discutía la constitucionalidad de la ley 11.741 que recortaba intereses pactados en los préstamos con garantía hipotecaria. Ello se hacía en el marco de la crisis económica mundial que se desató en 1930. El fallo fue dictado el 7 de diciembre de 1934. En el proceso se discutía si esta ley violaba el derecho de propiedad y contratar garantizados por los artículos 14, 17 y 28 de la Constitución Nacional. En la instancia anterior ley había sido declarada inconstitucional por lesionar esos derechos. Concedido el recurso extraordinario, la Corte decide a favor de la constitucionalidad de la ley con varios argumentos. </w:t>
      </w:r>
    </w:p>
    <w:p w14:paraId="1A6E1FE3" w14:textId="1B5FB38E"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En primer lugar</w:t>
      </w:r>
      <w:r w:rsidR="00E167EE">
        <w:rPr>
          <w:rFonts w:ascii="Verdana" w:eastAsia="Times New Roman" w:hAnsi="Verdana" w:cs="Arial"/>
          <w:sz w:val="24"/>
          <w:szCs w:val="24"/>
          <w:lang w:val="es-ES" w:eastAsia="es-ES"/>
        </w:rPr>
        <w:t>,</w:t>
      </w:r>
      <w:r w:rsidRPr="00186518">
        <w:rPr>
          <w:rFonts w:ascii="Verdana" w:eastAsia="Times New Roman" w:hAnsi="Verdana" w:cs="Arial"/>
          <w:sz w:val="24"/>
          <w:szCs w:val="24"/>
          <w:lang w:val="es-ES" w:eastAsia="es-ES"/>
        </w:rPr>
        <w:t xml:space="preserve"> justifica la aplicación retroactiva de la norma legal de emergencia, que la hacía aplicable a contratos en curso de ejecución, bajo la noción de que no hay derechos absolutos (considerando 5°). Seguidamente, señala que</w:t>
      </w:r>
      <w:r w:rsidR="00E167EE">
        <w:rPr>
          <w:rFonts w:ascii="Verdana" w:eastAsia="Times New Roman" w:hAnsi="Verdana" w:cs="Arial"/>
          <w:sz w:val="24"/>
          <w:szCs w:val="24"/>
          <w:lang w:val="es-ES" w:eastAsia="es-ES"/>
        </w:rPr>
        <w:t>,</w:t>
      </w:r>
      <w:r w:rsidRPr="00186518">
        <w:rPr>
          <w:rFonts w:ascii="Verdana" w:eastAsia="Times New Roman" w:hAnsi="Verdana" w:cs="Arial"/>
          <w:sz w:val="24"/>
          <w:szCs w:val="24"/>
          <w:lang w:val="es-ES" w:eastAsia="es-ES"/>
        </w:rPr>
        <w:t xml:space="preserve"> si bien el derecho de propiedad que emerge de un contrato es constitucionalmente igual al que se tiene sobre una propiedad, el Congreso puede modificar legítimamente el plazo de exigibilidad de los intereses por razones de interés general (considerando 6°). </w:t>
      </w:r>
    </w:p>
    <w:p w14:paraId="0DCA05F5" w14:textId="37524AB0"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Alude posteriormente a la jurisprudencia norteamericana contemporánea –argumento jurisprudencial- ya que en el país del norte se había decidido un caso análogo, el 8 de enero de 1934. Hablamos de la causa “Home Building and Loan vs. John H. Blaisdell y señora de Blaisdell”, en el cual la Corte norteamericana había resuelto a favor de la constitucionalidad de una medida legislativa similar (considerandos 8° y siguientes). Tal como corresponde a una interpretación dinámica, la sentencia tiene en cuenta las circunstancias actuales que van a justificar su decisión. </w:t>
      </w:r>
    </w:p>
    <w:p w14:paraId="1A534E37" w14:textId="64C899C9"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Por ejemplo, en el considerando 12 se hace menci</w:t>
      </w:r>
      <w:r w:rsidR="00E167EE">
        <w:rPr>
          <w:rFonts w:ascii="Verdana" w:eastAsia="Times New Roman" w:hAnsi="Verdana" w:cs="Arial"/>
          <w:sz w:val="24"/>
          <w:szCs w:val="24"/>
          <w:lang w:val="es-ES" w:eastAsia="es-ES"/>
        </w:rPr>
        <w:t>ona</w:t>
      </w:r>
      <w:r w:rsidRPr="00186518">
        <w:rPr>
          <w:rFonts w:ascii="Verdana" w:eastAsia="Times New Roman" w:hAnsi="Verdana" w:cs="Arial"/>
          <w:sz w:val="24"/>
          <w:szCs w:val="24"/>
          <w:lang w:val="es-ES" w:eastAsia="es-ES"/>
        </w:rPr>
        <w:t xml:space="preserve"> la crisis económica que dio sustento a la sanción de la ley, señalando que la misma se expresó con claridad en la discusión parlamentaria, y que la extensión y gravedad de </w:t>
      </w:r>
      <w:r w:rsidR="00D909BC">
        <w:rPr>
          <w:rFonts w:ascii="Verdana" w:eastAsia="Times New Roman" w:hAnsi="Verdana" w:cs="Arial"/>
          <w:sz w:val="24"/>
          <w:szCs w:val="24"/>
          <w:lang w:val="es-ES" w:eastAsia="es-ES"/>
        </w:rPr>
        <w:t>esta</w:t>
      </w:r>
      <w:r w:rsidRPr="00186518">
        <w:rPr>
          <w:rFonts w:ascii="Verdana" w:eastAsia="Times New Roman" w:hAnsi="Verdana" w:cs="Arial"/>
          <w:sz w:val="24"/>
          <w:szCs w:val="24"/>
          <w:lang w:val="es-ES" w:eastAsia="es-ES"/>
        </w:rPr>
        <w:t xml:space="preserve"> justifica esta normativa en el marco de </w:t>
      </w:r>
      <w:r w:rsidRPr="00186518">
        <w:rPr>
          <w:rFonts w:ascii="Verdana" w:eastAsia="Times New Roman" w:hAnsi="Verdana" w:cs="Arial"/>
          <w:sz w:val="24"/>
          <w:szCs w:val="24"/>
          <w:lang w:val="es-ES" w:eastAsia="es-ES"/>
        </w:rPr>
        <w:lastRenderedPageBreak/>
        <w:t xml:space="preserve">una emergencia. También entonces hay una interpretación extensiva del poder de policía en tiempos de emergencia y una argumentación social y económica de carácter pragmático. El fallo fue suscripto por Antonio Sagarna, Julián V. Pera (con ampliación de fundamentos), Luis Linares y B. A. Nazar Anchorena. Hay una disidencia parcial del Dr. Roberto Repetto, quien se opone a la aplicación retroactiva de la ley, por considerar que dicha aplicación es irrazonable, arbitraria y lesiva del derecho de propiedad. Podemos considerar que este magistrado </w:t>
      </w:r>
      <w:r w:rsidR="00E63D71">
        <w:rPr>
          <w:rFonts w:ascii="Verdana" w:eastAsia="Times New Roman" w:hAnsi="Verdana" w:cs="Arial"/>
          <w:sz w:val="24"/>
          <w:szCs w:val="24"/>
          <w:lang w:val="es-ES" w:eastAsia="es-ES"/>
        </w:rPr>
        <w:t xml:space="preserve">en su disidencia </w:t>
      </w:r>
      <w:r w:rsidRPr="00186518">
        <w:rPr>
          <w:rFonts w:ascii="Verdana" w:eastAsia="Times New Roman" w:hAnsi="Verdana" w:cs="Arial"/>
          <w:sz w:val="24"/>
          <w:szCs w:val="24"/>
          <w:lang w:val="es-ES" w:eastAsia="es-ES"/>
        </w:rPr>
        <w:t xml:space="preserve">realiza una interpretación originalista de la norma constitucional. </w:t>
      </w:r>
      <w:r w:rsidR="006355F9">
        <w:rPr>
          <w:rFonts w:ascii="Verdana" w:eastAsia="Times New Roman" w:hAnsi="Verdana" w:cs="Arial"/>
          <w:sz w:val="24"/>
          <w:szCs w:val="24"/>
          <w:lang w:val="es-ES" w:eastAsia="es-ES"/>
        </w:rPr>
        <w:t xml:space="preserve">Señalemos asimismo </w:t>
      </w:r>
      <w:r w:rsidRPr="00186518">
        <w:rPr>
          <w:rFonts w:ascii="Verdana" w:eastAsia="Times New Roman" w:hAnsi="Verdana" w:cs="Arial"/>
          <w:sz w:val="24"/>
          <w:szCs w:val="24"/>
          <w:lang w:val="es-ES" w:eastAsia="es-ES"/>
        </w:rPr>
        <w:t xml:space="preserve">que la Corte, implícitamente, protege también el derecho a la vivienda antes de su consagración expresa en el texto constitucional. </w:t>
      </w:r>
    </w:p>
    <w:p w14:paraId="08EC4F07" w14:textId="77777777" w:rsidR="00186518" w:rsidRPr="00186518" w:rsidRDefault="00186518" w:rsidP="00AE689A">
      <w:pPr>
        <w:spacing w:after="0" w:line="360" w:lineRule="auto"/>
        <w:rPr>
          <w:rFonts w:ascii="Verdana" w:eastAsia="Times New Roman" w:hAnsi="Verdana" w:cs="Arial"/>
          <w:sz w:val="24"/>
          <w:szCs w:val="24"/>
          <w:lang w:val="es-ES" w:eastAsia="es-ES"/>
        </w:rPr>
      </w:pPr>
    </w:p>
    <w:p w14:paraId="6CA0781D" w14:textId="16B90976" w:rsidR="00186518" w:rsidRDefault="00186518" w:rsidP="00AE689A">
      <w:pPr>
        <w:spacing w:after="0" w:line="360" w:lineRule="auto"/>
        <w:rPr>
          <w:rFonts w:ascii="Verdana" w:eastAsia="Times New Roman" w:hAnsi="Verdana" w:cs="Arial"/>
          <w:b/>
          <w:bCs/>
          <w:sz w:val="24"/>
          <w:szCs w:val="24"/>
          <w:lang w:val="es-ES" w:eastAsia="es-ES"/>
        </w:rPr>
      </w:pPr>
      <w:bookmarkStart w:id="0" w:name="_Hlk44538824"/>
      <w:r w:rsidRPr="006355F9">
        <w:rPr>
          <w:rFonts w:ascii="Verdana" w:eastAsia="Times New Roman" w:hAnsi="Verdana" w:cs="Arial"/>
          <w:b/>
          <w:bCs/>
          <w:sz w:val="24"/>
          <w:szCs w:val="24"/>
          <w:lang w:val="es-ES" w:eastAsia="es-ES"/>
        </w:rPr>
        <w:t>Rusich, Elvira c/ Cía. Introductora de Buenos Aires (1938)</w:t>
      </w:r>
      <w:r w:rsidR="006355F9">
        <w:rPr>
          <w:rFonts w:ascii="Verdana" w:eastAsia="Times New Roman" w:hAnsi="Verdana" w:cs="Arial"/>
          <w:b/>
          <w:bCs/>
          <w:sz w:val="24"/>
          <w:szCs w:val="24"/>
          <w:lang w:val="es-ES" w:eastAsia="es-ES"/>
        </w:rPr>
        <w:t>: otro ejemplo de interpretación dinámica en materia laboral</w:t>
      </w:r>
      <w:r w:rsidR="00A55A2F">
        <w:rPr>
          <w:rFonts w:ascii="Verdana" w:eastAsia="Times New Roman" w:hAnsi="Verdana" w:cs="Arial"/>
          <w:b/>
          <w:bCs/>
          <w:sz w:val="24"/>
          <w:szCs w:val="24"/>
          <w:lang w:val="es-ES" w:eastAsia="es-ES"/>
        </w:rPr>
        <w:t>. Una mirada extensiva</w:t>
      </w:r>
    </w:p>
    <w:bookmarkEnd w:id="0"/>
    <w:p w14:paraId="37D3FCE5" w14:textId="77777777" w:rsidR="00A55A2F" w:rsidRPr="006355F9" w:rsidRDefault="00A55A2F" w:rsidP="00AE689A">
      <w:pPr>
        <w:spacing w:after="0" w:line="360" w:lineRule="auto"/>
        <w:rPr>
          <w:rFonts w:ascii="Verdana" w:eastAsia="Times New Roman" w:hAnsi="Verdana" w:cs="Arial"/>
          <w:b/>
          <w:bCs/>
          <w:sz w:val="24"/>
          <w:szCs w:val="24"/>
          <w:lang w:val="es-ES" w:eastAsia="es-ES"/>
        </w:rPr>
      </w:pPr>
    </w:p>
    <w:p w14:paraId="632CCFB1" w14:textId="2E851F6F"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El 20/07/1938 la Corte Suprema de Justicia resolvió el caso “Rusich, Elvira c/ Cía. Introductora de Buenos Aires” (Fallos: 181:209). Los hechos eran los siguientes: la actora era empleada de la firma demandada con seis años de antigüedad, y solicitaba diez días de vacaciones pagados o en su defecto el pago de una indemnización, todo ello conforme las prescripciones del art. 156 de la ley 11.729. La demandada se allanó al pedido de vacaciones, pero consideró que no debía pagarlas, ya que era una contribución desigual e inconstitucional, y por ende violatoria de los arts. 14, 16 y 17 CN. Según ella, se pagaba a la empleada por períodos no trabajados, lo cual era violatorio de los derechos de propiedad, de contratar y de ejercer industria contra ella. </w:t>
      </w:r>
    </w:p>
    <w:p w14:paraId="4928AD84"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En este sentido, tachó de inconstitucional la ley 11.729. El Juez de Paz hizo lugar a la acción promovida por Rusich y desestimó la </w:t>
      </w:r>
      <w:r w:rsidRPr="00186518">
        <w:rPr>
          <w:rFonts w:ascii="Verdana" w:eastAsia="Times New Roman" w:hAnsi="Verdana" w:cs="Arial"/>
          <w:sz w:val="24"/>
          <w:szCs w:val="24"/>
          <w:lang w:val="es-ES" w:eastAsia="es-ES"/>
        </w:rPr>
        <w:lastRenderedPageBreak/>
        <w:t>inconstitucionalidad solicitada por la demandada. En su dictamen, el Procurador General, Dr. Juan Álvarez, luego de circunscribir el tema federal a la tacha de inconstitucionalidad del art. 156 de la ley 11.729, aconsejó rechazar el recurso por considerar forzada la analogía entre el pago de las vacaciones de un dependiente y la contribución de una carga pública, por un lado, y razonable la ley cuestionada que imponía el pago de vacaciones.</w:t>
      </w:r>
    </w:p>
    <w:p w14:paraId="3895703A" w14:textId="673A3F75"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La Corte Suprema, en un fallo sin disidencias suscripto por los Dres. Roberto Repetto, Antonio Sagarna y B. A. Nazar Anchorena, confirmó la sentencia apelada y otorgó la razón a la accionante. Puede apreciarse en el fallo una interpretación dinámica de la Constitución a partir de la convalidación de los propósitos que tuvo el legislador al sancionar la norma cuestionada. En tal sentido el Máximo Tribunal sostuvo: “El legislador argentino, siguiendo el ritmo universal de la justicia, ha creído que el patrón, aun sin dolo y sin culpa, debe indemnizar al obrero accidentado o víctima de una enfermedad profesional; ha creído y resuelto que las mujeres y los niños sólo en cierta medida y condiciones pueden trabajar…” señalando que esta normativa se inspira en: “…la doctrina social de la Iglesia en las conocidas Encíclicas Papales…” y con el objetivo de proteger la higiene y la salud social. Agrega luego un argumento analógico: “¿Qué diferencia existe entre el descanso pago de medio día de sábado hasta el lunes y los pocos días de vacaciones anuales?” </w:t>
      </w:r>
    </w:p>
    <w:p w14:paraId="57FF41A7" w14:textId="28E8088B"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También</w:t>
      </w:r>
      <w:r w:rsidR="008F70D9">
        <w:rPr>
          <w:rFonts w:ascii="Verdana" w:eastAsia="Times New Roman" w:hAnsi="Verdana" w:cs="Arial"/>
          <w:sz w:val="24"/>
          <w:szCs w:val="24"/>
          <w:lang w:val="es-ES" w:eastAsia="es-ES"/>
        </w:rPr>
        <w:t xml:space="preserve"> la Corte </w:t>
      </w:r>
      <w:r w:rsidRPr="00186518">
        <w:rPr>
          <w:rFonts w:ascii="Verdana" w:eastAsia="Times New Roman" w:hAnsi="Verdana" w:cs="Arial"/>
          <w:sz w:val="24"/>
          <w:szCs w:val="24"/>
          <w:lang w:val="es-ES" w:eastAsia="es-ES"/>
        </w:rPr>
        <w:t xml:space="preserve">cita precedentes jurisprudenciales </w:t>
      </w:r>
      <w:r w:rsidR="008F70D9">
        <w:rPr>
          <w:rFonts w:ascii="Verdana" w:eastAsia="Times New Roman" w:hAnsi="Verdana" w:cs="Arial"/>
          <w:sz w:val="24"/>
          <w:szCs w:val="24"/>
          <w:lang w:val="es-ES" w:eastAsia="es-ES"/>
        </w:rPr>
        <w:t xml:space="preserve">propios </w:t>
      </w:r>
      <w:r w:rsidRPr="00186518">
        <w:rPr>
          <w:rFonts w:ascii="Verdana" w:eastAsia="Times New Roman" w:hAnsi="Verdana" w:cs="Arial"/>
          <w:sz w:val="24"/>
          <w:szCs w:val="24"/>
          <w:lang w:val="es-ES" w:eastAsia="es-ES"/>
        </w:rPr>
        <w:t xml:space="preserve">(argumento jurisprudencial) que convalidaron leyes favorables a los trabajadores por similares motivos (“Saltamarini c/ Compañía de Tranways La Nacional”, Fallos: 176:22). Es entonces este fallo otro ejemplo de interpretación dinámica de la Constitución a partir de avalar normas legislativas de carácter social que se adaptaban a los cambios de época. </w:t>
      </w:r>
      <w:r w:rsidR="006D6C3B">
        <w:rPr>
          <w:rFonts w:ascii="Verdana" w:eastAsia="Times New Roman" w:hAnsi="Verdana" w:cs="Arial"/>
          <w:sz w:val="24"/>
          <w:szCs w:val="24"/>
          <w:lang w:val="es-ES" w:eastAsia="es-ES"/>
        </w:rPr>
        <w:t xml:space="preserve">El fallo es extensivo en materia de interpretación de derechos sociales. </w:t>
      </w:r>
    </w:p>
    <w:p w14:paraId="768682AD" w14:textId="77777777" w:rsidR="00186518" w:rsidRPr="00186518" w:rsidRDefault="00186518" w:rsidP="00AE689A">
      <w:pPr>
        <w:spacing w:after="0" w:line="360" w:lineRule="auto"/>
        <w:rPr>
          <w:rFonts w:ascii="Verdana" w:eastAsia="Times New Roman" w:hAnsi="Verdana" w:cs="Arial"/>
          <w:sz w:val="24"/>
          <w:szCs w:val="24"/>
          <w:lang w:val="es-ES" w:eastAsia="es-ES"/>
        </w:rPr>
      </w:pPr>
    </w:p>
    <w:p w14:paraId="705B7481" w14:textId="77777777" w:rsidR="00186518" w:rsidRPr="00186518" w:rsidRDefault="00186518" w:rsidP="00AE689A">
      <w:pPr>
        <w:spacing w:after="0" w:line="360" w:lineRule="auto"/>
        <w:rPr>
          <w:rFonts w:ascii="Verdana" w:eastAsia="Times New Roman" w:hAnsi="Verdana" w:cs="Arial"/>
          <w:sz w:val="24"/>
          <w:szCs w:val="24"/>
          <w:lang w:val="es-ES" w:eastAsia="es-ES"/>
        </w:rPr>
      </w:pPr>
    </w:p>
    <w:p w14:paraId="7F916DD3" w14:textId="6E2BF720" w:rsidR="00186518" w:rsidRDefault="00186518" w:rsidP="00AE689A">
      <w:pPr>
        <w:spacing w:after="0" w:line="360" w:lineRule="auto"/>
        <w:rPr>
          <w:rFonts w:ascii="Verdana" w:eastAsia="Times New Roman" w:hAnsi="Verdana" w:cs="Arial"/>
          <w:b/>
          <w:bCs/>
          <w:sz w:val="24"/>
          <w:szCs w:val="24"/>
          <w:lang w:val="es-ES" w:eastAsia="es-ES"/>
        </w:rPr>
      </w:pPr>
      <w:r w:rsidRPr="008F70D9">
        <w:rPr>
          <w:rFonts w:ascii="Verdana" w:eastAsia="Times New Roman" w:hAnsi="Verdana" w:cs="Arial"/>
          <w:b/>
          <w:bCs/>
          <w:sz w:val="24"/>
          <w:szCs w:val="24"/>
          <w:lang w:val="es-ES" w:eastAsia="es-ES"/>
        </w:rPr>
        <w:t>Cantarini, José y otros c/ Acindar s/ indemnización (1957)</w:t>
      </w:r>
      <w:r w:rsidR="008F70D9">
        <w:rPr>
          <w:rFonts w:ascii="Verdana" w:eastAsia="Times New Roman" w:hAnsi="Verdana" w:cs="Arial"/>
          <w:b/>
          <w:bCs/>
          <w:sz w:val="24"/>
          <w:szCs w:val="24"/>
          <w:lang w:val="es-ES" w:eastAsia="es-ES"/>
        </w:rPr>
        <w:t>: la interpretación gramatical y restrictiva de los derechos sociales</w:t>
      </w:r>
    </w:p>
    <w:p w14:paraId="27B48BA0" w14:textId="77777777" w:rsidR="00086870" w:rsidRPr="008F70D9" w:rsidRDefault="00086870" w:rsidP="00AE689A">
      <w:pPr>
        <w:spacing w:after="0" w:line="360" w:lineRule="auto"/>
        <w:rPr>
          <w:rFonts w:ascii="Verdana" w:eastAsia="Times New Roman" w:hAnsi="Verdana" w:cs="Arial"/>
          <w:b/>
          <w:bCs/>
          <w:sz w:val="24"/>
          <w:szCs w:val="24"/>
          <w:lang w:val="es-ES" w:eastAsia="es-ES"/>
        </w:rPr>
      </w:pPr>
    </w:p>
    <w:p w14:paraId="092F2653" w14:textId="09550B75"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El caso “Cantarini, José y otros c/ Acindar s/ indemnización”, fue resuelto por la Corte Suprema el 18/3/1957 (Fallos: 237:273). Para comprender plenamente el sentido de esta sentencia, es conveniente tener presente el contexto histórico y político en el cual se dicta. En esta oportunidad, se encontraba en el poder un gobierno de facto, la “Revolución Libertadora”. Dichas autoridades habían resuelto derogar la Constitución de 1949 a través de una proclama emitida el 27 de abril de 1956. Y como aún no se había realizado la Reforma Constitucional de 1957, al momento de la sentencia se encontraba vigente la Constitución de 1853-60 con las reformas de 1866 y 1898. </w:t>
      </w:r>
    </w:p>
    <w:p w14:paraId="70DDFC91" w14:textId="098625AB"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Me parece relevante remarcar esto porque es importante remarcar que la Constitución de 1949 había perdido vigencia. En el caso, el actor había llegado a la Corte mediante un recurso extraordinario, cuestionando la interpretación que se le había dado en el proceso a los alcances del artículo 67 del decreto 33.302/45</w:t>
      </w:r>
      <w:r w:rsidRPr="00186518">
        <w:rPr>
          <w:rFonts w:ascii="Verdana" w:eastAsia="Times New Roman" w:hAnsi="Verdana" w:cs="Arial"/>
          <w:sz w:val="24"/>
          <w:szCs w:val="24"/>
          <w:vertAlign w:val="superscript"/>
          <w:lang w:val="es-ES" w:eastAsia="es-ES"/>
        </w:rPr>
        <w:footnoteReference w:id="133"/>
      </w:r>
      <w:r w:rsidRPr="00186518">
        <w:rPr>
          <w:rFonts w:ascii="Verdana" w:eastAsia="Times New Roman" w:hAnsi="Verdana" w:cs="Arial"/>
          <w:sz w:val="24"/>
          <w:szCs w:val="24"/>
          <w:lang w:val="es-ES" w:eastAsia="es-ES"/>
        </w:rPr>
        <w:t xml:space="preserve">. En tal sentido indica que se ha violado el principio de igualdad garantizado por el artículo 16 de la Constitución Nacional atento a que sostuvo que hubo resoluciones contrapuestas basadas en esa interpretación diferente de la norma que motivaron el dictado de sentencias contradictorias. </w:t>
      </w:r>
    </w:p>
    <w:p w14:paraId="0F2F2C48"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Además, señala que en el caso recurrido. Amén de esto señala que la resolución recurrida se ha desconocido los Derechos del Trabajador declarados en el artículo 37 de la Constitución de 1949, dictada durante </w:t>
      </w:r>
      <w:r w:rsidRPr="00186518">
        <w:rPr>
          <w:rFonts w:ascii="Verdana" w:eastAsia="Times New Roman" w:hAnsi="Verdana" w:cs="Arial"/>
          <w:sz w:val="24"/>
          <w:szCs w:val="24"/>
          <w:lang w:val="es-ES" w:eastAsia="es-ES"/>
        </w:rPr>
        <w:lastRenderedPageBreak/>
        <w:t xml:space="preserve">el gobierno peronista. Recordemos que el reclamo judicial seguramente comenzó antes de la derogación de dicha norma y por ello el actor la menciona en el marco de sus agravios. </w:t>
      </w:r>
    </w:p>
    <w:p w14:paraId="1FC28553" w14:textId="739F048A"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El fallo es precedido de un extenso y meduloso dictamen del Procurador Sebastián Soler. La Corte adhiere al mismo en un fallo sin disidencias, firmado por los Doctores Alfredo Orgaz, Manuel J. Argañarás, Carlos Herrera y Benjamín Villegas Basavilbaso. En ese marco, entiendo que hay un criterio restrictivo que se presenta en el momento de evaluar los Derechos del Trabajador declarados en el artículo 37 invocados por el actor. En este sentido el Alto Tribunal señaló, coincidiendo con el Procurador General, que las disposiciones pertinentes de esa reforma en la materia no contenían sino declaraciones teóricas y no añadían derecho alguno a los que había establecido efectivamente la legislación laboral bajo el imperio de la Constitución de 1853. Así, clasificándolas como declaraciones teóricas, la Corte tiene una visión restrictiva del alcance de los derechos consagrados en la Constitución de 1949. </w:t>
      </w:r>
      <w:r w:rsidR="003F23DD">
        <w:rPr>
          <w:rFonts w:ascii="Verdana" w:eastAsia="Times New Roman" w:hAnsi="Verdana" w:cs="Arial"/>
          <w:sz w:val="24"/>
          <w:szCs w:val="24"/>
          <w:lang w:val="es-ES" w:eastAsia="es-ES"/>
        </w:rPr>
        <w:t xml:space="preserve">Recordemos que algunas de las disposiciones de la Constitución de 1949 en la materia -art. 37- ponían la protección de los derechos sociales en cabeza de la “sociedad” y no expresamente “del Estado”. Vemos aquí el uso implícito de un criterio interpretativo gramatical. </w:t>
      </w:r>
    </w:p>
    <w:p w14:paraId="0481795A" w14:textId="76D60DB5"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Luego, prosiguiendo con su razonamiento, estima que además el tema no es revisable por la Corte y, resolviendo la cuestión, considera que el recurso ha sido mal concedido ya que en la causa se están debatiendo cuestiones de derecho común relacionadas con la interpretación del alcance de normas de derecho común que no revestían carácter federal y por ende no podían ser de competencia de la Corte. En esta oportunidad, el Alto Tribunal utilizó una interpretación originalista, apegada a los criterios de la Constitución Histórica de 1853-60, que era la vigente al momento del dictado de la sentencia</w:t>
      </w:r>
      <w:r w:rsidR="003F23DD">
        <w:rPr>
          <w:rFonts w:ascii="Verdana" w:eastAsia="Times New Roman" w:hAnsi="Verdana" w:cs="Arial"/>
          <w:sz w:val="24"/>
          <w:szCs w:val="24"/>
          <w:lang w:val="es-ES" w:eastAsia="es-ES"/>
        </w:rPr>
        <w:t xml:space="preserve">, y fundamentalmente </w:t>
      </w:r>
      <w:r w:rsidR="003F23DD">
        <w:rPr>
          <w:rFonts w:ascii="Verdana" w:eastAsia="Times New Roman" w:hAnsi="Verdana" w:cs="Arial"/>
          <w:sz w:val="24"/>
          <w:szCs w:val="24"/>
          <w:lang w:val="es-ES" w:eastAsia="es-ES"/>
        </w:rPr>
        <w:lastRenderedPageBreak/>
        <w:t xml:space="preserve">gramatical al considerar los derechos consagrados en la Constitución de 1949. Una mirada a todas luces restrictiva en la materia. </w:t>
      </w:r>
    </w:p>
    <w:p w14:paraId="76192E02" w14:textId="77777777" w:rsidR="00186518" w:rsidRPr="00186518" w:rsidRDefault="00186518" w:rsidP="00AE689A">
      <w:pPr>
        <w:spacing w:after="0" w:line="360" w:lineRule="auto"/>
        <w:rPr>
          <w:rFonts w:ascii="Verdana" w:eastAsia="Times New Roman" w:hAnsi="Verdana" w:cs="Arial"/>
          <w:sz w:val="24"/>
          <w:szCs w:val="24"/>
          <w:lang w:val="es-ES" w:eastAsia="es-ES"/>
        </w:rPr>
      </w:pPr>
    </w:p>
    <w:p w14:paraId="72F8C900" w14:textId="373D235B"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ab/>
      </w:r>
    </w:p>
    <w:p w14:paraId="0D461844" w14:textId="1A21182F" w:rsidR="00186518" w:rsidRDefault="00186518" w:rsidP="00AE689A">
      <w:pPr>
        <w:spacing w:after="0" w:line="360" w:lineRule="auto"/>
        <w:rPr>
          <w:rFonts w:ascii="Verdana" w:eastAsia="Times New Roman" w:hAnsi="Verdana" w:cs="Arial"/>
          <w:b/>
          <w:bCs/>
          <w:sz w:val="24"/>
          <w:szCs w:val="24"/>
          <w:lang w:val="es-ES" w:eastAsia="es-ES"/>
        </w:rPr>
      </w:pPr>
      <w:r w:rsidRPr="00EB5A09">
        <w:rPr>
          <w:rFonts w:ascii="Verdana" w:eastAsia="Times New Roman" w:hAnsi="Verdana" w:cs="Arial"/>
          <w:b/>
          <w:bCs/>
          <w:sz w:val="24"/>
          <w:szCs w:val="24"/>
          <w:lang w:val="es-ES" w:eastAsia="es-ES"/>
        </w:rPr>
        <w:t>Ratto, Sixto y otro c/ Productos Stani S.A. (1966)</w:t>
      </w:r>
      <w:r w:rsidR="00C94C00">
        <w:rPr>
          <w:rFonts w:ascii="Verdana" w:eastAsia="Times New Roman" w:hAnsi="Verdana" w:cs="Arial"/>
          <w:b/>
          <w:bCs/>
          <w:sz w:val="24"/>
          <w:szCs w:val="24"/>
          <w:lang w:val="es-ES" w:eastAsia="es-ES"/>
        </w:rPr>
        <w:t>: interpretación combinada y restrictiva</w:t>
      </w:r>
    </w:p>
    <w:p w14:paraId="02A9738F" w14:textId="77777777" w:rsidR="003E11F5" w:rsidRPr="00EB5A09" w:rsidRDefault="003E11F5" w:rsidP="00AE689A">
      <w:pPr>
        <w:spacing w:after="0" w:line="360" w:lineRule="auto"/>
        <w:rPr>
          <w:rFonts w:ascii="Verdana" w:eastAsia="Times New Roman" w:hAnsi="Verdana" w:cs="Arial"/>
          <w:b/>
          <w:bCs/>
          <w:sz w:val="24"/>
          <w:szCs w:val="24"/>
          <w:lang w:val="es-ES" w:eastAsia="es-ES"/>
        </w:rPr>
      </w:pPr>
    </w:p>
    <w:p w14:paraId="551DA7F1" w14:textId="30259849"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El 26 de agosto de 1966, la Corte Suprema, en un fallo sin disidencias, resolvió la causa “Ratto, Sixto y otro c/ Productos Stani S.A.” (Fallos: 265:242).  Motivaba la actuación judicial el agravio de los actores frente a la decisión de la empresa demandada de remunerar por encima del salario de convenio a tres trabajadores en reconocimiento a su mayor “idoneidad, dedicación y servicios prestados”. Consideraban que se había vulnerado el derecho constitucional consagrado a favor de los trabajadores en la primera parte del artículo 14 bis que asegura igual remuneración por igual tarea. Estimaba la parte actora que el empleador había realizado una discriminación injustificada y por ende inconstitucional. </w:t>
      </w:r>
    </w:p>
    <w:p w14:paraId="6DC0AE13" w14:textId="344DB9B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La Corte, integrada por los Doctores Eduardo Ortiz Basualdo, Roberto Chute, Marco Aurelio Risolía, Guillermo Borda y Luis Cabral, rechazó el reclamo, realizando una interpretación semántica, finalista y sistemática en el marco </w:t>
      </w:r>
      <w:r w:rsidR="00340304">
        <w:rPr>
          <w:rFonts w:ascii="Verdana" w:eastAsia="Times New Roman" w:hAnsi="Verdana" w:cs="Arial"/>
          <w:sz w:val="24"/>
          <w:szCs w:val="24"/>
          <w:lang w:val="es-ES" w:eastAsia="es-ES"/>
        </w:rPr>
        <w:t xml:space="preserve">de los derechos </w:t>
      </w:r>
      <w:r w:rsidRPr="00186518">
        <w:rPr>
          <w:rFonts w:ascii="Verdana" w:eastAsia="Times New Roman" w:hAnsi="Verdana" w:cs="Arial"/>
          <w:sz w:val="24"/>
          <w:szCs w:val="24"/>
          <w:lang w:val="es-ES" w:eastAsia="es-ES"/>
        </w:rPr>
        <w:t>del artículo 14 bis, sin recurrir a otras disposiciones. En primer término</w:t>
      </w:r>
      <w:r w:rsidR="00C94C00">
        <w:rPr>
          <w:rFonts w:ascii="Verdana" w:eastAsia="Times New Roman" w:hAnsi="Verdana" w:cs="Arial"/>
          <w:sz w:val="24"/>
          <w:szCs w:val="24"/>
          <w:lang w:val="es-ES" w:eastAsia="es-ES"/>
        </w:rPr>
        <w:t>,</w:t>
      </w:r>
      <w:r w:rsidRPr="00186518">
        <w:rPr>
          <w:rFonts w:ascii="Verdana" w:eastAsia="Times New Roman" w:hAnsi="Verdana" w:cs="Arial"/>
          <w:sz w:val="24"/>
          <w:szCs w:val="24"/>
          <w:lang w:val="es-ES" w:eastAsia="es-ES"/>
        </w:rPr>
        <w:t xml:space="preserve"> señala que lo debatido en autos no se relaciona con la operatividad del derecho a igual remuneración por igual tarea consagrado en el artículo 14 bis, ya que “aun admitiendo su operatividad”, dicha disposición es expresión derivada del principio general (expresado en el mismo artículo) que dispones que la remuneración debe ser justa (considerando 2°). Y</w:t>
      </w:r>
      <w:r w:rsidR="00C94C00">
        <w:rPr>
          <w:rFonts w:ascii="Verdana" w:eastAsia="Times New Roman" w:hAnsi="Verdana" w:cs="Arial"/>
          <w:sz w:val="24"/>
          <w:szCs w:val="24"/>
          <w:lang w:val="es-ES" w:eastAsia="es-ES"/>
        </w:rPr>
        <w:t>,</w:t>
      </w:r>
      <w:r w:rsidRPr="00186518">
        <w:rPr>
          <w:rFonts w:ascii="Verdana" w:eastAsia="Times New Roman" w:hAnsi="Verdana" w:cs="Arial"/>
          <w:sz w:val="24"/>
          <w:szCs w:val="24"/>
          <w:lang w:val="es-ES" w:eastAsia="es-ES"/>
        </w:rPr>
        <w:t xml:space="preserve"> por consiguiente, la finalidad de la cláusula es oponerse a discriminaciones arbitrarias, </w:t>
      </w:r>
      <w:r w:rsidRPr="00186518">
        <w:rPr>
          <w:rFonts w:ascii="Verdana" w:eastAsia="Times New Roman" w:hAnsi="Verdana" w:cs="Arial"/>
          <w:sz w:val="24"/>
          <w:szCs w:val="24"/>
          <w:lang w:val="es-ES" w:eastAsia="es-ES"/>
        </w:rPr>
        <w:lastRenderedPageBreak/>
        <w:t xml:space="preserve">señalando como ejemplo de ellas a las que se fundan en razones de sexo, religión o raza. </w:t>
      </w:r>
    </w:p>
    <w:p w14:paraId="13E313D4"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Pero no implica que impidan distinciones que se basen en razones de bien común, citando como ejemplo de ellas la disposición que ordena pagar una mayor retribución a quienes tienen mayores cargas de familia, que surge del tercer párrafo del artículo 14 bis (compensación económica familiar). Adviértase como en este último razonamiento se justifica la decisión a partir de una interpretación sistemática que homologa un derecho del trabajador individual con un derecho de la seguridad social que quizá tengan una naturaleza diferente más allá de su convivencia en el mismo artículo. </w:t>
      </w:r>
    </w:p>
    <w:p w14:paraId="097C687D" w14:textId="2A03D021"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En el considerando 3° el Alto Tribunal señala como consecuencia de lo dicho que le está permitido al empleador realizar diferencias </w:t>
      </w:r>
      <w:r w:rsidR="00157380">
        <w:rPr>
          <w:rFonts w:ascii="Verdana" w:eastAsia="Times New Roman" w:hAnsi="Verdana" w:cs="Arial"/>
          <w:sz w:val="24"/>
          <w:szCs w:val="24"/>
          <w:lang w:val="es-ES" w:eastAsia="es-ES"/>
        </w:rPr>
        <w:t>debido a</w:t>
      </w:r>
      <w:r w:rsidRPr="00186518">
        <w:rPr>
          <w:rFonts w:ascii="Verdana" w:eastAsia="Times New Roman" w:hAnsi="Verdana" w:cs="Arial"/>
          <w:sz w:val="24"/>
          <w:szCs w:val="24"/>
          <w:lang w:val="es-ES" w:eastAsia="es-ES"/>
        </w:rPr>
        <w:t xml:space="preserve"> la mayor eficacia o laboriosidad de los obreros. Se realiza aquí una clara interpretación semántica y se critica a la interpretación meramente gramatical, ya que la Corte sostiene que: “La ley no debe interpretarse conforme a la desnuda literalidad de los vocablos usados, ni según rígidas pautas gramaticales, sino con arreglo a su significado jurídico profundo”. Estamos frente a una interpretación semántica</w:t>
      </w:r>
      <w:r w:rsidR="00C94C00">
        <w:rPr>
          <w:rFonts w:ascii="Verdana" w:eastAsia="Times New Roman" w:hAnsi="Verdana" w:cs="Arial"/>
          <w:sz w:val="24"/>
          <w:szCs w:val="24"/>
          <w:lang w:val="es-ES" w:eastAsia="es-ES"/>
        </w:rPr>
        <w:t>,</w:t>
      </w:r>
      <w:r w:rsidRPr="00186518">
        <w:rPr>
          <w:rFonts w:ascii="Verdana" w:eastAsia="Times New Roman" w:hAnsi="Verdana" w:cs="Arial"/>
          <w:sz w:val="24"/>
          <w:szCs w:val="24"/>
          <w:lang w:val="es-ES" w:eastAsia="es-ES"/>
        </w:rPr>
        <w:t xml:space="preserve"> pero a la vez finalista, ya que trata de desentrañar el significado de las palabras de la Constitución teniendo en cuenta su propósito o finalidad.</w:t>
      </w:r>
    </w:p>
    <w:p w14:paraId="04C126EE" w14:textId="438FD603"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Prosiguiendo con su decisión, la Corte define como remuneración justa a la establecida en el marco de un convenio colectivo. Por lo cual, al pagar dicho salario, el empleador satisface la exigencia constitucional de la remuneración justa (considerando 4°). Luego de ello, se remarca como positivo para la sociedad la posibilidad de que el empleador premie con una mayor remuneración a los que demuestren mayores méritos, relacionando dicha facultad con el interés de toda la comunidad y el objetivo de hacer justicia. Es más, la Corte señala como disvaliosa y nociva la “igualación forzosa al más bajo nivel”, a la cual llevaría una </w:t>
      </w:r>
      <w:r w:rsidRPr="00186518">
        <w:rPr>
          <w:rFonts w:ascii="Verdana" w:eastAsia="Times New Roman" w:hAnsi="Verdana" w:cs="Arial"/>
          <w:sz w:val="24"/>
          <w:szCs w:val="24"/>
          <w:lang w:val="es-ES" w:eastAsia="es-ES"/>
        </w:rPr>
        <w:lastRenderedPageBreak/>
        <w:t>eventual impugnación de la actitud patronal en este caso. Vale decir entonces que no solamente convalida la decisión de la demandada, sino que la juzga justa y socialmente útil (considerando 5°). Se realiza aquí una interpretación finalista de la</w:t>
      </w:r>
    </w:p>
    <w:p w14:paraId="00FF2FB0"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norma. </w:t>
      </w:r>
    </w:p>
    <w:p w14:paraId="58D52164" w14:textId="6D0ACDFD"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Finalmente, en el siguiente considerando, y, para de alguna manera facilitar el ejercicio de esta atribución por parte de los empleadores, manifiesta que no puede exigirse la prueba por parte de </w:t>
      </w:r>
      <w:r w:rsidR="00262A57">
        <w:rPr>
          <w:rFonts w:ascii="Verdana" w:eastAsia="Times New Roman" w:hAnsi="Verdana" w:cs="Arial"/>
          <w:sz w:val="24"/>
          <w:szCs w:val="24"/>
          <w:lang w:val="es-ES" w:eastAsia="es-ES"/>
        </w:rPr>
        <w:t>estos</w:t>
      </w:r>
      <w:r w:rsidRPr="00186518">
        <w:rPr>
          <w:rFonts w:ascii="Verdana" w:eastAsia="Times New Roman" w:hAnsi="Verdana" w:cs="Arial"/>
          <w:sz w:val="24"/>
          <w:szCs w:val="24"/>
          <w:lang w:val="es-ES" w:eastAsia="es-ES"/>
        </w:rPr>
        <w:t xml:space="preserve"> acerca de los criterios utilizados para establecer</w:t>
      </w:r>
      <w:r w:rsidR="00977C0C">
        <w:rPr>
          <w:rFonts w:ascii="Verdana" w:eastAsia="Times New Roman" w:hAnsi="Verdana" w:cs="Arial"/>
          <w:sz w:val="24"/>
          <w:szCs w:val="24"/>
          <w:lang w:val="es-ES" w:eastAsia="es-ES"/>
        </w:rPr>
        <w:t xml:space="preserve"> </w:t>
      </w:r>
      <w:r w:rsidRPr="00186518">
        <w:rPr>
          <w:rFonts w:ascii="Verdana" w:eastAsia="Times New Roman" w:hAnsi="Verdana" w:cs="Arial"/>
          <w:sz w:val="24"/>
          <w:szCs w:val="24"/>
          <w:lang w:val="es-ES" w:eastAsia="es-ES"/>
        </w:rPr>
        <w:t xml:space="preserve">los mayores méritos de los trabajadores premiados, atento a lo sutil y complejo de la cuestión. Ello deberá quedar librado a su prudente discrecionalidad, lo que por supuesto excluye las discriminaciones arbitrarias. Nos encontramos también ante una interpretación limitada o restrictiva del alcance de la cláusula de igual remuneración por igual tarea prevista en el artículo 14 bis. </w:t>
      </w:r>
    </w:p>
    <w:p w14:paraId="036EEADA" w14:textId="77777777" w:rsidR="00186518" w:rsidRPr="00186518" w:rsidRDefault="00186518" w:rsidP="00AE689A">
      <w:pPr>
        <w:spacing w:after="0" w:line="360" w:lineRule="auto"/>
        <w:rPr>
          <w:rFonts w:ascii="Verdana" w:eastAsia="Times New Roman" w:hAnsi="Verdana" w:cs="Arial"/>
          <w:sz w:val="24"/>
          <w:szCs w:val="24"/>
          <w:lang w:val="es-ES" w:eastAsia="es-ES"/>
        </w:rPr>
      </w:pPr>
    </w:p>
    <w:p w14:paraId="04BD1D2A" w14:textId="6F46EA08" w:rsidR="00186518" w:rsidRDefault="00186518" w:rsidP="00AE689A">
      <w:pPr>
        <w:spacing w:after="0" w:line="360" w:lineRule="auto"/>
        <w:rPr>
          <w:rFonts w:ascii="Verdana" w:eastAsia="Times New Roman" w:hAnsi="Verdana" w:cs="Arial"/>
          <w:b/>
          <w:bCs/>
          <w:sz w:val="24"/>
          <w:szCs w:val="24"/>
          <w:lang w:val="es-ES" w:eastAsia="es-ES"/>
        </w:rPr>
      </w:pPr>
      <w:bookmarkStart w:id="1" w:name="_Hlk44539045"/>
      <w:r w:rsidRPr="00194D53">
        <w:rPr>
          <w:rFonts w:ascii="Verdana" w:eastAsia="Times New Roman" w:hAnsi="Verdana" w:cs="Arial"/>
          <w:b/>
          <w:bCs/>
          <w:sz w:val="24"/>
          <w:szCs w:val="24"/>
          <w:lang w:val="es-ES" w:eastAsia="es-ES"/>
        </w:rPr>
        <w:t>De Luca c/ Banco Francés del Río de la Plata (1969)</w:t>
      </w:r>
      <w:r w:rsidR="000F73F7">
        <w:rPr>
          <w:rFonts w:ascii="Verdana" w:eastAsia="Times New Roman" w:hAnsi="Verdana" w:cs="Arial"/>
          <w:b/>
          <w:bCs/>
          <w:sz w:val="24"/>
          <w:szCs w:val="24"/>
          <w:lang w:val="es-ES" w:eastAsia="es-ES"/>
        </w:rPr>
        <w:t>: criterio finalista, sistemático. Una mirada restrictiva</w:t>
      </w:r>
    </w:p>
    <w:bookmarkEnd w:id="1"/>
    <w:p w14:paraId="0E8D2A79" w14:textId="77777777" w:rsidR="007F00E5" w:rsidRPr="00194D53" w:rsidRDefault="007F00E5" w:rsidP="00AE689A">
      <w:pPr>
        <w:spacing w:after="0" w:line="360" w:lineRule="auto"/>
        <w:rPr>
          <w:rFonts w:ascii="Verdana" w:eastAsia="Times New Roman" w:hAnsi="Verdana" w:cs="Arial"/>
          <w:b/>
          <w:bCs/>
          <w:sz w:val="24"/>
          <w:szCs w:val="24"/>
          <w:lang w:val="es-ES" w:eastAsia="es-ES"/>
        </w:rPr>
      </w:pPr>
    </w:p>
    <w:p w14:paraId="66147500" w14:textId="1E1790E5"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El 25/02/1969 la Corte Suprema resolvió la causa “De Luca, José E. y otro c/ Banco Francés del Rio de la Plata” (Fallos: 273:87). Los hechos del caso eran los siguientes: los demandantes eran exempleados del Banco Francés que habían sido dejado cesantes en 1959 y demandaban su reincorporación más el cobro de los salarios caídos. Fundaban su reclamo en lo establecido por la ley 12.637 y el decreto reglamentario 20.268/46. Dicha normativa consagraba en favor de los trabajadores bancarios la una estabilidad en el empleo muy amplia, que podría considerarse estabilidad propia. El Procurador General, Dr. Eduardo H. Marquardt dictamina a favor de rechazar la petición y revocar la sentencia apelada, sosteniendo la inconstitucionalidad de las normas </w:t>
      </w:r>
      <w:r w:rsidRPr="00186518">
        <w:rPr>
          <w:rFonts w:ascii="Verdana" w:eastAsia="Times New Roman" w:hAnsi="Verdana" w:cs="Arial"/>
          <w:sz w:val="24"/>
          <w:szCs w:val="24"/>
          <w:lang w:val="es-ES" w:eastAsia="es-ES"/>
        </w:rPr>
        <w:lastRenderedPageBreak/>
        <w:t xml:space="preserve">legales y reglamentarias invocadas. En tal sentido remite a un dictamen previo que había realizado en una causa similar (“Caputi Ferreyra, José M. c/ Banco Español del Río de la Plata s/ cobro de pesos”). </w:t>
      </w:r>
    </w:p>
    <w:p w14:paraId="39D9694D" w14:textId="091E57AB"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En dicha oportunidad, el Procurador había considerado incompatibles las disposiciones precitadas con los artículos 14, 16 y 17 de la Constitución Nacional. La Corte Suprema, en un voto sin disidencias firmado por los Dres. Eduardo A. Ortiz Basualdo, Roberto E. Chute, Marco Aurelio Risolía, Luis Carlos Cabral y José F. Bidau, decidió seguir el criterio del Procurador General. Llama la atención que en el caso no se menciona expresamente al artículo 14 bis. Lo que se observa con claridad es una interpretación finalista de la Constitución basada en el valor justicia –la cual conduce a la inconstitucionalidad de la normativa infraconstitucional-. En efecto, la Corte en los medulares considerandos 5° y 6° entiende al régimen legal como intrínsecamente injusto ya que consagra, al otorgar la estabilidad propia de manera tan extensiva, un derecho en favor de los actores a cobrar sin trabajar, y por ende lesivo del derecho de propiedad y de la libertad de contratar. Esto implicaría un enriquecimiento sin causa en favor de los demandantes que les permitiría jubilarse con solamente seis meses de trabajo efectivo (considerandos 8° y 9°). </w:t>
      </w:r>
    </w:p>
    <w:p w14:paraId="64A982D1"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Conforme lo reseñado, puede afirmarse que la Corte justifica su decisión a través de los métodos de interpretación finalista y sistemático (ya que hay una interpretación coherente entre el art. 14 bis –implícitamente involucrado- con los artículos 14 y 17 CN). Firme en su postura, el Máximo Tribunal decide apartarse de sus propios precedentes en la materia (considerando 7°), y lo hace fundamentalmente en defensa de la garantía de la propiedad. Allí se resume el pensamiento de la Corte en la materia: “En tal sentido, este Tribunal considera que una vez rota la relación laboral a raíz de un despido injusto debe reconocerse el derecho </w:t>
      </w:r>
      <w:r w:rsidRPr="00186518">
        <w:rPr>
          <w:rFonts w:ascii="Verdana" w:eastAsia="Times New Roman" w:hAnsi="Verdana" w:cs="Arial"/>
          <w:sz w:val="24"/>
          <w:szCs w:val="24"/>
          <w:lang w:val="es-ES" w:eastAsia="es-ES"/>
        </w:rPr>
        <w:lastRenderedPageBreak/>
        <w:t xml:space="preserve">a reclamar una indemnización razonablemente proporcionada al perjuicio sufrido. </w:t>
      </w:r>
    </w:p>
    <w:p w14:paraId="560C6F94"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Pero también, que no puede admitirse como legítima la carga de seguir abonando remuneraciones que, en cuanto tales, carecen de toda justificación”. La Corte llega a considerar al régimen legal impugnado como sancionatorio y represivo, ya que castiga al empleador que se niega a reincorporar a un empleado e, inclusive, totalmente arbitrario, ya que beneficia a aquellos que habiendo trabajado poco tiempo antes del despido obtienen la estabilidad y perjudica a aquellos que han permanecido trabajando (considerando 10°). </w:t>
      </w:r>
    </w:p>
    <w:p w14:paraId="362170EF" w14:textId="20BCD1C4"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La sentencia niega el pago de los salarios caídos y beneficios previsionales a los actores</w:t>
      </w:r>
      <w:r w:rsidR="000F73F7">
        <w:rPr>
          <w:rFonts w:ascii="Verdana" w:eastAsia="Times New Roman" w:hAnsi="Verdana" w:cs="Arial"/>
          <w:sz w:val="24"/>
          <w:szCs w:val="24"/>
          <w:lang w:val="es-ES" w:eastAsia="es-ES"/>
        </w:rPr>
        <w:t>,</w:t>
      </w:r>
      <w:r w:rsidRPr="00186518">
        <w:rPr>
          <w:rFonts w:ascii="Verdana" w:eastAsia="Times New Roman" w:hAnsi="Verdana" w:cs="Arial"/>
          <w:sz w:val="24"/>
          <w:szCs w:val="24"/>
          <w:lang w:val="es-ES" w:eastAsia="es-ES"/>
        </w:rPr>
        <w:t xml:space="preserve"> pero deja a salvo su derecho a percibir una indemnización. En síntesis, se utilizan en el fallo primordialmente el método de interpretación finalista y el sistemático. Además</w:t>
      </w:r>
      <w:r w:rsidR="000F73F7">
        <w:rPr>
          <w:rFonts w:ascii="Verdana" w:eastAsia="Times New Roman" w:hAnsi="Verdana" w:cs="Arial"/>
          <w:sz w:val="24"/>
          <w:szCs w:val="24"/>
          <w:lang w:val="es-ES" w:eastAsia="es-ES"/>
        </w:rPr>
        <w:t>,</w:t>
      </w:r>
      <w:r w:rsidRPr="00186518">
        <w:rPr>
          <w:rFonts w:ascii="Verdana" w:eastAsia="Times New Roman" w:hAnsi="Verdana" w:cs="Arial"/>
          <w:sz w:val="24"/>
          <w:szCs w:val="24"/>
          <w:lang w:val="es-ES" w:eastAsia="es-ES"/>
        </w:rPr>
        <w:t xml:space="preserve"> se rechaza de plano la interpretación extensiva de la protección contra el despido arbitrario de los trabajadores del sector privado hecha por el legislador. </w:t>
      </w:r>
    </w:p>
    <w:p w14:paraId="3BF65771" w14:textId="77777777" w:rsidR="00186518" w:rsidRPr="00186518" w:rsidRDefault="00186518" w:rsidP="00AE689A">
      <w:pPr>
        <w:spacing w:after="0" w:line="360" w:lineRule="auto"/>
        <w:rPr>
          <w:rFonts w:ascii="Verdana" w:eastAsia="Times New Roman" w:hAnsi="Verdana" w:cs="Arial"/>
          <w:sz w:val="24"/>
          <w:szCs w:val="24"/>
          <w:lang w:val="es-ES" w:eastAsia="es-ES"/>
        </w:rPr>
      </w:pPr>
    </w:p>
    <w:p w14:paraId="748562FD" w14:textId="318BADD8" w:rsidR="00186518" w:rsidRDefault="00186518" w:rsidP="00AE689A">
      <w:pPr>
        <w:spacing w:after="0" w:line="360" w:lineRule="auto"/>
        <w:rPr>
          <w:rFonts w:ascii="Verdana" w:eastAsia="Times New Roman" w:hAnsi="Verdana" w:cs="Arial"/>
          <w:b/>
          <w:bCs/>
          <w:sz w:val="24"/>
          <w:szCs w:val="24"/>
          <w:lang w:val="es-ES" w:eastAsia="es-ES"/>
        </w:rPr>
      </w:pPr>
      <w:bookmarkStart w:id="2" w:name="_Hlk44539067"/>
      <w:r w:rsidRPr="005928D5">
        <w:rPr>
          <w:rFonts w:ascii="Verdana" w:eastAsia="Times New Roman" w:hAnsi="Verdana" w:cs="Arial"/>
          <w:b/>
          <w:bCs/>
          <w:sz w:val="24"/>
          <w:szCs w:val="24"/>
          <w:lang w:val="es-ES" w:eastAsia="es-ES"/>
        </w:rPr>
        <w:t>Bercaitz, Miguel Ángel (1974)</w:t>
      </w:r>
      <w:r w:rsidR="005928D5">
        <w:rPr>
          <w:rFonts w:ascii="Verdana" w:eastAsia="Times New Roman" w:hAnsi="Verdana" w:cs="Arial"/>
          <w:b/>
          <w:bCs/>
          <w:sz w:val="24"/>
          <w:szCs w:val="24"/>
          <w:lang w:val="es-ES" w:eastAsia="es-ES"/>
        </w:rPr>
        <w:t>: la interpretación dinámica y construcción de un principio hermenéutico</w:t>
      </w:r>
    </w:p>
    <w:bookmarkEnd w:id="2"/>
    <w:p w14:paraId="5698F7C2" w14:textId="77777777" w:rsidR="007F00E5" w:rsidRPr="005928D5" w:rsidRDefault="007F00E5" w:rsidP="00AE689A">
      <w:pPr>
        <w:spacing w:after="0" w:line="360" w:lineRule="auto"/>
        <w:rPr>
          <w:rFonts w:ascii="Verdana" w:eastAsia="Times New Roman" w:hAnsi="Verdana" w:cs="Arial"/>
          <w:b/>
          <w:bCs/>
          <w:sz w:val="24"/>
          <w:szCs w:val="24"/>
          <w:lang w:val="es-ES" w:eastAsia="es-ES"/>
        </w:rPr>
      </w:pPr>
    </w:p>
    <w:p w14:paraId="3C33750D" w14:textId="6C13192C"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El caso “Bercaitz, Miguel Ángel” (Fallos: 289: 430) fue resuelto por la Corte Suprema de Justicia de la Nación el 13/9/74, integrada por Conjueces. Dentro de ellos se encontraban Roberto Marfany, Felipe S. Pérez y Arturo Enrique Sampay. El Dr. Marfany elaboró un voto propio. El actor, Bercaitz, a la sazón Juez de la Corte Suprema de Justicia de la Nación en ese momento, reclamaba el reajuste de su prestación jubilatoria ante el Instituto Municipal de Previsión Social, puesto que había desempeñado, entre otras tareas, las de Director del Registro Civil de la Capital Federal y Asesor Letrado en lo Administrativo de la Dirección de Asuntos Legales de la Municipalidad de la Ciudad. La </w:t>
      </w:r>
      <w:r w:rsidRPr="00186518">
        <w:rPr>
          <w:rFonts w:ascii="Verdana" w:eastAsia="Times New Roman" w:hAnsi="Verdana" w:cs="Arial"/>
          <w:sz w:val="24"/>
          <w:szCs w:val="24"/>
          <w:lang w:val="es-ES" w:eastAsia="es-ES"/>
        </w:rPr>
        <w:lastRenderedPageBreak/>
        <w:t xml:space="preserve">pertenencia del accionante a la Corte motivó la actuación de conjueces. Estaban en juego en el caso el derecho a una jubilación previsto por el artículo 14 bis CN. </w:t>
      </w:r>
    </w:p>
    <w:p w14:paraId="1D1E585B"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Yendo a lo medular de la sentencia, en dicha ocasión, el voto mayoritario del Máximo Tribunal integrado por conjueces sostuvo, al fallar a favor del actor, y en lo que a interpretación constitucional se refiere, que: “… el principio fundamental de la hermenéutica jurídica en los Estados que, como el nuestro, adoptan una “Constitución rígida”, consiste en interpretar las leyes conforme al fin que esa “superley” se propone promover; y este fin establecido en el documento de la Constitución formal por una generación del pasado, “como derecho recibe su fuerza a la luz de las condiciones del presente y con las miras puestas en las condiciones del presente” (Edward S. Corwin. </w:t>
      </w:r>
      <w:r w:rsidRPr="00186518">
        <w:rPr>
          <w:rFonts w:ascii="Verdana" w:eastAsia="Times New Roman" w:hAnsi="Verdana" w:cs="Arial"/>
          <w:sz w:val="24"/>
          <w:szCs w:val="24"/>
          <w:lang w:val="en-US" w:eastAsia="es-ES"/>
        </w:rPr>
        <w:t xml:space="preserve">The Constitution and what it </w:t>
      </w:r>
      <w:proofErr w:type="gramStart"/>
      <w:r w:rsidRPr="00186518">
        <w:rPr>
          <w:rFonts w:ascii="Verdana" w:eastAsia="Times New Roman" w:hAnsi="Verdana" w:cs="Arial"/>
          <w:sz w:val="24"/>
          <w:szCs w:val="24"/>
          <w:lang w:val="en-US" w:eastAsia="es-ES"/>
        </w:rPr>
        <w:t>means</w:t>
      </w:r>
      <w:proofErr w:type="gramEnd"/>
      <w:r w:rsidRPr="00186518">
        <w:rPr>
          <w:rFonts w:ascii="Verdana" w:eastAsia="Times New Roman" w:hAnsi="Verdana" w:cs="Arial"/>
          <w:sz w:val="24"/>
          <w:szCs w:val="24"/>
          <w:lang w:val="en-US" w:eastAsia="es-ES"/>
        </w:rPr>
        <w:t xml:space="preserve"> today, -</w:t>
      </w:r>
      <w:proofErr w:type="spellStart"/>
      <w:r w:rsidRPr="00186518">
        <w:rPr>
          <w:rFonts w:ascii="Verdana" w:eastAsia="Times New Roman" w:hAnsi="Verdana" w:cs="Arial"/>
          <w:sz w:val="24"/>
          <w:szCs w:val="24"/>
          <w:lang w:val="en-US" w:eastAsia="es-ES"/>
        </w:rPr>
        <w:t>Atheneum</w:t>
      </w:r>
      <w:proofErr w:type="spellEnd"/>
      <w:r w:rsidRPr="00186518">
        <w:rPr>
          <w:rFonts w:ascii="Verdana" w:eastAsia="Times New Roman" w:hAnsi="Verdana" w:cs="Arial"/>
          <w:sz w:val="24"/>
          <w:szCs w:val="24"/>
          <w:lang w:val="en-US" w:eastAsia="es-ES"/>
        </w:rPr>
        <w:t xml:space="preserve">-, New York, 1963, p. 2).  </w:t>
      </w:r>
      <w:r w:rsidRPr="00186518">
        <w:rPr>
          <w:rFonts w:ascii="Verdana" w:eastAsia="Times New Roman" w:hAnsi="Verdana" w:cs="Arial"/>
          <w:sz w:val="24"/>
          <w:szCs w:val="24"/>
          <w:lang w:val="es-ES" w:eastAsia="es-ES"/>
        </w:rPr>
        <w:t xml:space="preserve">Y como esta Corte lo ha declarado, “el objetivo preeminente” de la Constitución, según lo expresa su preámbulo, es lograr el “bienestar general” (Fallos: 278:313), lo cual significa decir la justicia en su más alta expresión, esto es la justicia social, cuyo contenido actual consiste en ordenar la actividad intersubjetiva de los miembros de la comunidad y los recursos con que ésta cuenta con vistas a lograr lo que todos y cada uno de sus miembros participen de los bienes materiales y espirituales de la civilización. Por tanto, tiene categoría constitucional el siguiente principio de hermenéutica jurídica: in dubio pro justitia socialis”. </w:t>
      </w:r>
    </w:p>
    <w:p w14:paraId="30304C5D" w14:textId="3F62469E" w:rsid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Como podrá advertirse a través la cita, la Corte interpreta la Constitución de una forma dinámica, finalista y sistemática, y construye un principio general hermenéutico que ordena el sistema jurídico en función al valor declarado. Nos debe importar lo que la Constitución significa para la comunidad en la actualidad, y para ello debe vérsela como un todo interrelacionado y apreciarse su finalidad última, propia </w:t>
      </w:r>
      <w:r w:rsidRPr="00186518">
        <w:rPr>
          <w:rFonts w:ascii="Verdana" w:eastAsia="Times New Roman" w:hAnsi="Verdana" w:cs="Arial"/>
          <w:sz w:val="24"/>
          <w:szCs w:val="24"/>
          <w:lang w:val="es-ES" w:eastAsia="es-ES"/>
        </w:rPr>
        <w:lastRenderedPageBreak/>
        <w:t xml:space="preserve">del Constitucionalismo Social, de la idea de justicia. Encontramos también argumentos doctrinarios (cita de un constitucionalista estadounidense) y axiológicos. Finalmente, </w:t>
      </w:r>
      <w:r w:rsidR="002E5D01">
        <w:rPr>
          <w:rFonts w:ascii="Verdana" w:eastAsia="Times New Roman" w:hAnsi="Verdana" w:cs="Arial"/>
          <w:sz w:val="24"/>
          <w:szCs w:val="24"/>
          <w:lang w:val="es-ES" w:eastAsia="es-ES"/>
        </w:rPr>
        <w:t xml:space="preserve">es interesante destacar </w:t>
      </w:r>
      <w:r w:rsidRPr="00186518">
        <w:rPr>
          <w:rFonts w:ascii="Verdana" w:eastAsia="Times New Roman" w:hAnsi="Verdana" w:cs="Arial"/>
          <w:sz w:val="24"/>
          <w:szCs w:val="24"/>
          <w:lang w:val="es-ES" w:eastAsia="es-ES"/>
        </w:rPr>
        <w:t xml:space="preserve">que esta tarea hermenéutica haya sido realizada por conjueces. </w:t>
      </w:r>
    </w:p>
    <w:p w14:paraId="383BE162" w14:textId="6C42391A" w:rsidR="00923700" w:rsidRDefault="00923700" w:rsidP="00AE689A">
      <w:pPr>
        <w:spacing w:after="0" w:line="360" w:lineRule="auto"/>
        <w:rPr>
          <w:rFonts w:ascii="Verdana" w:eastAsia="Times New Roman" w:hAnsi="Verdana" w:cs="Arial"/>
          <w:sz w:val="24"/>
          <w:szCs w:val="24"/>
          <w:lang w:val="es-ES" w:eastAsia="es-ES"/>
        </w:rPr>
      </w:pPr>
    </w:p>
    <w:p w14:paraId="439585BE" w14:textId="739967D4" w:rsidR="00923700" w:rsidRPr="00452F2A" w:rsidRDefault="00452F2A" w:rsidP="00AE689A">
      <w:pPr>
        <w:spacing w:after="0" w:line="360" w:lineRule="auto"/>
        <w:rPr>
          <w:rFonts w:ascii="Verdana" w:eastAsia="Times New Roman" w:hAnsi="Verdana" w:cs="Arial"/>
          <w:b/>
          <w:bCs/>
          <w:sz w:val="24"/>
          <w:szCs w:val="24"/>
          <w:lang w:val="es-ES" w:eastAsia="es-ES"/>
        </w:rPr>
      </w:pPr>
      <w:bookmarkStart w:id="3" w:name="_Hlk44539086"/>
      <w:r w:rsidRPr="00452F2A">
        <w:rPr>
          <w:rFonts w:ascii="Verdana" w:eastAsia="Times New Roman" w:hAnsi="Verdana" w:cs="Arial"/>
          <w:b/>
          <w:bCs/>
          <w:sz w:val="24"/>
          <w:szCs w:val="24"/>
          <w:lang w:val="es-ES" w:eastAsia="es-ES"/>
        </w:rPr>
        <w:t>2.</w:t>
      </w:r>
      <w:r w:rsidR="00923700" w:rsidRPr="00452F2A">
        <w:rPr>
          <w:rFonts w:ascii="Verdana" w:eastAsia="Times New Roman" w:hAnsi="Verdana" w:cs="Arial"/>
          <w:b/>
          <w:bCs/>
          <w:sz w:val="24"/>
          <w:szCs w:val="24"/>
          <w:lang w:val="es-ES" w:eastAsia="es-ES"/>
        </w:rPr>
        <w:t xml:space="preserve">SENTENCIAS POSTERIORES A </w:t>
      </w:r>
      <w:r w:rsidRPr="00452F2A">
        <w:rPr>
          <w:rFonts w:ascii="Verdana" w:eastAsia="Times New Roman" w:hAnsi="Verdana" w:cs="Arial"/>
          <w:b/>
          <w:bCs/>
          <w:sz w:val="24"/>
          <w:szCs w:val="24"/>
          <w:lang w:val="es-ES" w:eastAsia="es-ES"/>
        </w:rPr>
        <w:t>LA REFORMA CONSTITUCIONAL DE 1994</w:t>
      </w:r>
    </w:p>
    <w:p w14:paraId="7E4EC7B5" w14:textId="77777777" w:rsidR="00186518" w:rsidRPr="00186518" w:rsidRDefault="00186518" w:rsidP="00AE689A">
      <w:pPr>
        <w:spacing w:after="0" w:line="360" w:lineRule="auto"/>
        <w:rPr>
          <w:rFonts w:ascii="Verdana" w:eastAsia="Times New Roman" w:hAnsi="Verdana" w:cs="Arial"/>
          <w:sz w:val="24"/>
          <w:szCs w:val="24"/>
          <w:lang w:val="es-ES" w:eastAsia="es-ES"/>
        </w:rPr>
      </w:pPr>
    </w:p>
    <w:p w14:paraId="2F506749" w14:textId="4530DEA7" w:rsidR="00186518" w:rsidRDefault="00186518" w:rsidP="00AE689A">
      <w:pPr>
        <w:spacing w:after="0" w:line="360" w:lineRule="auto"/>
        <w:rPr>
          <w:rFonts w:ascii="Verdana" w:eastAsia="Times New Roman" w:hAnsi="Verdana" w:cs="Arial"/>
          <w:b/>
          <w:bCs/>
          <w:sz w:val="24"/>
          <w:szCs w:val="24"/>
          <w:lang w:val="es-ES" w:eastAsia="es-ES"/>
        </w:rPr>
      </w:pPr>
      <w:r w:rsidRPr="00452F2A">
        <w:rPr>
          <w:rFonts w:ascii="Verdana" w:eastAsia="Times New Roman" w:hAnsi="Verdana" w:cs="Arial"/>
          <w:b/>
          <w:bCs/>
          <w:sz w:val="24"/>
          <w:szCs w:val="24"/>
          <w:lang w:val="es-ES" w:eastAsia="es-ES"/>
        </w:rPr>
        <w:t>Chocobar, Sixto Celestino (1996)</w:t>
      </w:r>
      <w:r w:rsidR="00452F2A">
        <w:rPr>
          <w:rFonts w:ascii="Verdana" w:eastAsia="Times New Roman" w:hAnsi="Verdana" w:cs="Arial"/>
          <w:b/>
          <w:bCs/>
          <w:sz w:val="24"/>
          <w:szCs w:val="24"/>
          <w:lang w:val="es-ES" w:eastAsia="es-ES"/>
        </w:rPr>
        <w:t>: interpretación combinada y criterio restrictivo</w:t>
      </w:r>
    </w:p>
    <w:p w14:paraId="7EDA91AB" w14:textId="77777777" w:rsidR="007F00E5" w:rsidRPr="00452F2A" w:rsidRDefault="007F00E5" w:rsidP="00AE689A">
      <w:pPr>
        <w:spacing w:after="0" w:line="360" w:lineRule="auto"/>
        <w:rPr>
          <w:rFonts w:ascii="Verdana" w:eastAsia="Times New Roman" w:hAnsi="Verdana" w:cs="Arial"/>
          <w:b/>
          <w:bCs/>
          <w:sz w:val="24"/>
          <w:szCs w:val="24"/>
          <w:lang w:val="es-ES" w:eastAsia="es-ES"/>
        </w:rPr>
      </w:pPr>
    </w:p>
    <w:bookmarkEnd w:id="3"/>
    <w:p w14:paraId="3A97312A" w14:textId="5D1F118E"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El 27/12/1996 la Corte Suprema de Justicia de la Nación dictó sentencia en el caso “Chocobar, Sixto Celestino c/ Caja Nacional de Previsión para el personal del Estado y Servicios Públicos s/ Reajuste por movilidad” (Fallos: 319:3241). Firman el fallo los Doctores Julio Nazareno, Eduardo Moliné O´Connor, Guillermo A. F. López, Antonio Boggiano, Adolfo Vázquez, Carlos Fayt, Augusto César Belluscio, Enrique Petracchi y Gustavo Bossert. En el caso, la demandada había interpuesto Recurso Extraordinario Federal contra la decisión de la Sala III de la Cámara Federal de Apelaciones de la Seguridad Social que había declarado en autos la inconstitucionalidad del sistema de movilidad de haberes provisionales dispuesto en los artículos  49, 53 y 55 de la ley 18.037 (t.o. 1976),  y ordenado practicar una nueva determinación del haber inicial de jubilación y nuevas pautas de movilidad según las variaciones del salario básico del convenio de la industria y construcción, siempre que el haber del jubilado sufriera un perjuicio superior al 10% como resultante de la aplicación de los artículos 53 y 55 la ley 18.037 cuestionados. El recurso presentado por la Caja (ya fusionada con ANSES) se basaba en la incompatibilidad entre lo dispuesto por el a quo y la ley de Convertibilidad –23.928-. También se cuestionaba la tasa de </w:t>
      </w:r>
      <w:r w:rsidRPr="00186518">
        <w:rPr>
          <w:rFonts w:ascii="Verdana" w:eastAsia="Times New Roman" w:hAnsi="Verdana" w:cs="Arial"/>
          <w:sz w:val="24"/>
          <w:szCs w:val="24"/>
          <w:lang w:val="es-ES" w:eastAsia="es-ES"/>
        </w:rPr>
        <w:lastRenderedPageBreak/>
        <w:t xml:space="preserve">interés dispuesta en la sentencia, punto sobre el cual el actor desistió al contestar el traslado del Recurso Extraordinario. Se encontraba en juego en el caso el derecho a una jubilación móvil, consagrado en el artículo 14 bis CN. </w:t>
      </w:r>
    </w:p>
    <w:p w14:paraId="5545E356" w14:textId="0FF9DECF"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El Procurador Doctor Felipe Daniel Obarrio, en un breve dictamen, consideró la causa similar a una decidida anteriormente por la Corte (caso “Acosta, Rosendo Alfredo s/ jubil</w:t>
      </w:r>
      <w:r w:rsidR="00357847">
        <w:rPr>
          <w:rFonts w:ascii="Verdana" w:eastAsia="Times New Roman" w:hAnsi="Verdana" w:cs="Arial"/>
          <w:sz w:val="24"/>
          <w:szCs w:val="24"/>
          <w:lang w:val="es-ES" w:eastAsia="es-ES"/>
        </w:rPr>
        <w:t>a</w:t>
      </w:r>
      <w:r w:rsidRPr="00186518">
        <w:rPr>
          <w:rFonts w:ascii="Verdana" w:eastAsia="Times New Roman" w:hAnsi="Verdana" w:cs="Arial"/>
          <w:sz w:val="24"/>
          <w:szCs w:val="24"/>
          <w:lang w:val="es-ES" w:eastAsia="es-ES"/>
        </w:rPr>
        <w:t xml:space="preserve">ción”) y aconsejó remitir la causa al tribunal inferior a los fines dictaminados en aquella oportunidad. Llegado el caso al Alto Tribunal, no fue unánime. </w:t>
      </w:r>
    </w:p>
    <w:p w14:paraId="752F343A" w14:textId="0BF1528D"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El voto mayoritario fue suscripto por los Doctores Nazareno, Moliné O´Connor y López. La cuestión fue considerada de naturaleza federal atento a la impugnación referida a la ley 23.928. Dentro de los argumentos utilizados, encontramos en el considerando 4° el jurisprudencial (autoprecedente), ya que se señala por ejemplo que: “...este Tribunal ha señalado reiteradamente que en sus sentencias...”. En el considerando 5°, la Corte desecha la impugnación de la demandada con respecto a la decisión de la Cámara referida a la inconstitucionalidad de los artículos de la ley 18.037 hasta abril de 1991, citando para ello el precedente “Rolón Zappa” (argumento jurisprudencial-autoprecedente). </w:t>
      </w:r>
    </w:p>
    <w:p w14:paraId="2EF39B0B" w14:textId="1FD29AF3"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En este orden de ideas, en el considerando 6°, el voto de la mayoría circunscribe la cuestión a debatir a la actualización de haberes provisionales a partir de la entrada en vigencia de la Ley de Convertibilidad, e, independientemente de las disposiciones de ley 24.463, que implicaban remitir al tribunal inferior la cuestión para un recálculo del haber, la Corte, interpretando restrictivamente en el caso el alcance de esta norma, decide tratar el fondo de la cuestión atento al carácter alimentario de los haberes provisionales (considerando 7°). Posteriormente, en el considerando 8° y, destacando la trascendencia constitucional y social del tema a dilucidar (argumento económico, </w:t>
      </w:r>
      <w:r w:rsidRPr="00186518">
        <w:rPr>
          <w:rFonts w:ascii="Verdana" w:eastAsia="Times New Roman" w:hAnsi="Verdana" w:cs="Arial"/>
          <w:sz w:val="24"/>
          <w:szCs w:val="24"/>
          <w:lang w:val="es-ES" w:eastAsia="es-ES"/>
        </w:rPr>
        <w:lastRenderedPageBreak/>
        <w:t>sociológico y consecuencialista) señala que la forma de interpretación adecuada es la dinámica y sistemática, atento a</w:t>
      </w:r>
      <w:r w:rsidR="001736D2">
        <w:rPr>
          <w:rFonts w:ascii="Verdana" w:eastAsia="Times New Roman" w:hAnsi="Verdana" w:cs="Arial"/>
          <w:sz w:val="24"/>
          <w:szCs w:val="24"/>
          <w:lang w:val="es-ES" w:eastAsia="es-ES"/>
        </w:rPr>
        <w:t xml:space="preserve"> la </w:t>
      </w:r>
      <w:r w:rsidRPr="00186518">
        <w:rPr>
          <w:rFonts w:ascii="Verdana" w:eastAsia="Times New Roman" w:hAnsi="Verdana" w:cs="Arial"/>
          <w:sz w:val="24"/>
          <w:szCs w:val="24"/>
          <w:lang w:val="es-ES" w:eastAsia="es-ES"/>
        </w:rPr>
        <w:t xml:space="preserve">responsabilidad de la Corte como cabeza de uno de los Departamentos del Estado. </w:t>
      </w:r>
    </w:p>
    <w:p w14:paraId="528FC625" w14:textId="648CFBBD"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En el considerando 9° la Corte analiza el alcance de la   movilidad jubilatoria, ordenada en el tercer párrafo del artículo 14 bis CN. En este sentido, estima que es una disposición que admite una razonable reglamentación legislativa, y no puede quedar sujeta a una única determinación, en lo que parece ser una visión restringida del alcance de este derecho constitucional a la movilidad del haber jubilatorio. Para ello se apela en el considerando 10° al método de interpretación histórico, citando lo expuesto por varios Convencionales en los debates de la Convención Constituyente de 1957 a favor de una reglamentación más precisa de esta cláusula, y el posterior fracaso de esta propuesta. </w:t>
      </w:r>
    </w:p>
    <w:p w14:paraId="70B1486A"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De esto se concluye que la voluntad mayoritaria de los Convencionales Constituyentes fue la de no dar un standard preciso y cuantificable de la movilidad de los haberes provisionales.  Posteriormente, en los siguientes considerandos, la Corte señala que, luego de la Reforma Constitucional de 1994 y, con el otorgamiento de Jerarquía Constitucional a diversos Tratados e Instrumentos Internacionales sobre Derechos Humanos debe interpretarse la norma suprema de modo armónico y sistemático. Es más, en tal sentido, señala que no hay disposiciones en los Tratados jerarquizados que se opongan a la norma constitucional, atento a que el Constituyente, al darles tal jerarquía, realizó un juicio de comprobación y ha verificado dicha armonía (considerando 12°) y que, en definitiva, ningún artículo de los Tratados deroga o se opone a algún artículo de la Constitución: “Ello indica que los constituyentes han efectuado un juicio de comprobación en virtud del cual han cotejado los tratados y los artículos constitucionales y han verificado que no se produce derogación alguna, juicio que no pueden los poderes constituidos desconocer o contradecir”. </w:t>
      </w:r>
    </w:p>
    <w:p w14:paraId="5C33F594" w14:textId="43F89628"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lastRenderedPageBreak/>
        <w:t xml:space="preserve">Esta construcción hermenéutica fue posteriormente respetada por la Corte en su jurisprudencia posterior y marca el carácter inevitable en la actualidad de realizar una hermenéutica sistemática y armonizadora de la norma suprema, atento a la Jerarquía Constitucional de los Tratados sobre Derechos Humanos enumerados por el artículo 75 inciso 22 CN, más aquellos a los que el Congreso, con una mayoría calificada (dos tercios del total de los miembros de ambas Cámaras) le otorgue dicha jerarquía. </w:t>
      </w:r>
    </w:p>
    <w:p w14:paraId="50611E55" w14:textId="5DB824C1"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En esta oportunidad en realidad, el voto mayoritario de la Corte realiza esta interpretación a los fines de considerar que el Estado está obligado a cumplir con sus obligaciones en materia de derechos sociales utilizando “hasta el máximo de sus recursos disponibles” (artículo 26 CADH), en lo que en realidad prefijará una interpretación restrictiva y limitativa de las disposición de movilidad del artículo 14 bis CN: “Tales referencias –que vinculan los beneficios sociales a las concretas posibilidades del estado- resultan idóneas para interpretar el alcance de la movilidad aludida en el artículo 14 bis de la Constitución Nacional, toda vez que esta debe ser considerada como un conjunto armónico, dentro del cual cada una de sus disposiciones ha de interpretarse de acuerdo con el contenido de las demás” (considerando 11°). Concluye entonces la mayoría del Tribunal que el criterio de los “recursos disponibles” puede ser un principio eficaz para aplicar a la actualización de los haberes previsionales. Es la formulación de un principio hermenéutico, lo que implica la aplicación del</w:t>
      </w:r>
      <w:r w:rsidR="00DE493D">
        <w:rPr>
          <w:rFonts w:ascii="Verdana" w:eastAsia="Times New Roman" w:hAnsi="Verdana" w:cs="Arial"/>
          <w:sz w:val="24"/>
          <w:szCs w:val="24"/>
          <w:lang w:val="es-ES" w:eastAsia="es-ES"/>
        </w:rPr>
        <w:t xml:space="preserve"> criterio</w:t>
      </w:r>
      <w:r w:rsidRPr="00186518">
        <w:rPr>
          <w:rFonts w:ascii="Verdana" w:eastAsia="Times New Roman" w:hAnsi="Verdana" w:cs="Arial"/>
          <w:sz w:val="24"/>
          <w:szCs w:val="24"/>
          <w:lang w:val="es-ES" w:eastAsia="es-ES"/>
        </w:rPr>
        <w:t xml:space="preserve"> finalista de interpretación constitucional.  </w:t>
      </w:r>
    </w:p>
    <w:p w14:paraId="38D58E7A"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El argumento jurisprudencial es reiterado en el considerando 14°, donde se alude a jurisprudencia del Alto Tribunal, en especial a los casos “Avico” y “Kot”, a los fines de marcar la necesidad de realizar en autos una interpretación dinámica de la Constitución y citando la frase de Chief Justice John Marshall en “Mc Culloch vs. Maryland” (1819) “...es </w:t>
      </w:r>
      <w:r w:rsidRPr="00186518">
        <w:rPr>
          <w:rFonts w:ascii="Verdana" w:eastAsia="Times New Roman" w:hAnsi="Verdana" w:cs="Arial"/>
          <w:sz w:val="24"/>
          <w:szCs w:val="24"/>
          <w:lang w:val="es-ES" w:eastAsia="es-ES"/>
        </w:rPr>
        <w:lastRenderedPageBreak/>
        <w:t xml:space="preserve">una Constitución lo que estamos interpretando...concebida para adaptarse a las distintas crisis de los asuntos humanos” (argumento jurisprudencial comparado y también argumento doctrinario, sobre la cual se regresa luego en el considerando 18°). </w:t>
      </w:r>
    </w:p>
    <w:p w14:paraId="73C7B1DD"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Marca la Corte en este mismo considerando los inconvenientes de la interpretación estática de la Constitución. La cuestión es continuada en el considerando 15° cuando la mayoría señala que: “...el alcance y contenido de la garantía constitucional de movilidad de las prestaciones provisionales no son conceptos lineales o unívocos que dan lugar a una exégesis única, reglamentaria e inmodificable sino, opuestamente, susceptibles de ser moldeados y adaptados a la evolución que resulte de las concepciones políticas, jurídicas, sociales y económicas que imperan en la comunidad en un momento dado.” </w:t>
      </w:r>
    </w:p>
    <w:p w14:paraId="4EFF596E"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En este orden de ideas, se relaciona la interpretación dinámica con la finalista al indicar que es el mejor modo de permitir el cumplimiento de los principios constitucionales. Dicho esto, en los considerandos siguientes el voto mayoritario señala que es el Poder Legislativo el indicado para reglamentar los derechos constitucionales conforme los criterios expuestos y según la oportunidad mérito y conveniencia, no siendo correcto realizar una exégesis restrictiva de estas facultades, en lo que constituye una interpretación extensiva de las facultades reglamentarias del Poder Legislativo (considerandos 16° y 17°). Robustece su posición en el considerando 18° a través de citas jurisprudenciales y doctrinarias estadounidenses (regresa sobre el voto citado del Juez Marshall y doctrina constitucional de ese país). Pero agrega que lo dicho no implica admitir la omnipotencia del legislador (considerando 19°), ni colocar a éste por fuera del control de los tribunales de justicia. </w:t>
      </w:r>
    </w:p>
    <w:p w14:paraId="3516AB66" w14:textId="33ACA86A"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Seguidamente, la Corte analiza con detalle sus antecedentes jurisprudenciales específicos sobre el tema (autoprecedentes), para </w:t>
      </w:r>
      <w:r w:rsidRPr="00186518">
        <w:rPr>
          <w:rFonts w:ascii="Verdana" w:eastAsia="Times New Roman" w:hAnsi="Verdana" w:cs="Arial"/>
          <w:sz w:val="24"/>
          <w:szCs w:val="24"/>
          <w:lang w:val="es-ES" w:eastAsia="es-ES"/>
        </w:rPr>
        <w:lastRenderedPageBreak/>
        <w:t xml:space="preserve">llegar a la conclusión que las diferentes soluciones sobre la movilidad de los haberes provisionales dependen muchas veces de la hermenéutica de los textos legislativos más que de la interpretación de lo dispuesto por la Constitución Nacional en la materia (considerandos 20° a 24°). Es más, descalifica esta jurisprudencia al adjetivarla como “errática” (considerando 25°). Vale decir que, para la mayoría del Tribunal, no hay un criterio hermenéutico inteligible que permita otorgarle un contenido concreto al alcance de la movilidad jubilatoria. Por ello estimo que los argumentos jurisprudenciales utilizados lo son, en realidad, para ser desechados en esta oportunidad. </w:t>
      </w:r>
    </w:p>
    <w:p w14:paraId="41BA4B1C"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Dicho esto, en los siguientes considerandos y, utilizando una exégesis normativa, destaca la claridad, relevancia e importancia de la Ley de Convertibilidad, 23.928, cuya finalidad de preservar el valor de la moneda, tiene anclaje constitucional. Y en este sentido destaca que el articulado de dicha norma desecha la aplicación de toda forma de actualización e indexación de deudas (considerandos 25° a 27°). En este último considerando, la Corte realiza una interpretación teleológica o finalista, que apunta a desentrañar los propósitos que tuvo el legislador al sancionarla. Y señala que dicho fin no era otro que el de lograr el bienestar de la comunidad, limitando los derechos patrimoniales en situaciones de emergencia económica. </w:t>
      </w:r>
    </w:p>
    <w:p w14:paraId="22E04FF5" w14:textId="01C5B298"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Aparece también entonces una hermenéutica amplia de las facultades de los Poderes del Estado en el marco de la emergencia: un poder de policía de la emergencia, habilitado para restringir derechos constitucionales de naturaleza patrimonial. Continuando con la hermenéutica de la ley 23.928, la Corte determina que, en el decreto reglamentario de la misma –que debe respetar la pauta establecida por el artículo 99 inciso 2° CN- se exime de la desindexación a los créditos previsionales (considerando 30°). De ello concluye, en una argumentación histórica, ligada a respetar la voluntad del legislador, </w:t>
      </w:r>
      <w:r w:rsidRPr="00186518">
        <w:rPr>
          <w:rFonts w:ascii="Verdana" w:eastAsia="Times New Roman" w:hAnsi="Verdana" w:cs="Arial"/>
          <w:sz w:val="24"/>
          <w:szCs w:val="24"/>
          <w:lang w:val="es-ES" w:eastAsia="es-ES"/>
        </w:rPr>
        <w:lastRenderedPageBreak/>
        <w:t xml:space="preserve">que el mismo hizo una excepción en algunos casos a la regla legal establecida en la Ley de Convertibilidad. </w:t>
      </w:r>
    </w:p>
    <w:p w14:paraId="12683B3B"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En este orden de ideas, realiza una síntesis de la actividad interpretativa de los jueces como una actividad compleja que se nutre de todos los métodos interpretativos al decir: “Que ello es así, pues configura un principio de hermenéutica sentado por este Tribunal en reiterados pronunciamientos que la inteligencia de las leyes debe practicarse teniendo en cuenta el contexto general y los fines que la informan y a ese objeto la labor del intérprete debe ajustarse a un examen atento y profundo de sus términos, que consulte la racionalidad del precepto y la voluntad del legislador, extremos que no deben  ser obviados  por las posibles imperfecciones técnicas de la instrumentación legal, precisamente, para evitar la frustración de los objetivos de la norma (Fallos: 308:2246; 310:572 y 1390; 311:2751; 321:1484).” </w:t>
      </w:r>
    </w:p>
    <w:p w14:paraId="43B4F603"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Como puede advertirse, en el párrafo citado se alude a distintos métodos de interpretación o argumentación como el sistemático, el semántico, el finalista, y el de la voluntad del legislador o histórico. Reconoce posteriormente el voto mayoritario la existencia de un nuevo sistema legal en la materia –la ley 24.241, Régimen Integrado de Jubilaciones y Pensiones- que cambia el cálculo de movilidad establecido en la ley general anterior (18.037), ya que solamente pueden tener prevalencia sobre la 24.241 los regímenes previsionales especiales que establecen mecanismos de actualización propios. Amén de ello, en una interpretación realista y pragmática, indica que la movilidad de la ley cuestionada -18.037- era propia de un contexto inflacionario que ya no existe en el país desde la vigencia de la Convertibilidad (considerandos 35° y 36°). </w:t>
      </w:r>
    </w:p>
    <w:p w14:paraId="104EB80B" w14:textId="18611AA8"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Continúa el voto mayoritario afirmando que debe evaluarse el perjuicio patrimonial producido en los haberes de los trabajadores pasivos no desde una hermenéutica propia del derecho privado, de naturaleza </w:t>
      </w:r>
      <w:r w:rsidRPr="00186518">
        <w:rPr>
          <w:rFonts w:ascii="Verdana" w:eastAsia="Times New Roman" w:hAnsi="Verdana" w:cs="Arial"/>
          <w:sz w:val="24"/>
          <w:szCs w:val="24"/>
          <w:lang w:val="es-ES" w:eastAsia="es-ES"/>
        </w:rPr>
        <w:lastRenderedPageBreak/>
        <w:t xml:space="preserve">contractual, sino desde una lógica jurídica propia del derecho público y de carácter asistencial, que no exige una proporcionalidad estricta entre los aportes realizados y los haberes percibidos (considerando 41°). En este orden de ideas la Corte señala que el nuevo sistema de actualización jubilatorio establecido por las leyes 24.241 y 24.463, que reemplaza al de la ley 18.037, no ocasiona en sí mismo agravio constitucional alguno, y fue dispuesto legítimamente por el Congreso en el marco de una situación de emergencia (considerando 42°). </w:t>
      </w:r>
    </w:p>
    <w:p w14:paraId="36F74780"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Apoya esta afirmación con argumentos vertidos por la Corte en casos análogos (autoprecedentes). Luego de esto y, a los efectos de establecer un criterio de movilidad en el caso, la Corte reitera la necesidad de una interpretación coherente del ordenamiento jurídico, basándose en este caso en la idea del legislador racional: “Sentado el marco legal en juego, corresponde destacar que las disposiciones aquí implicadas deben ser interpretadas con arreglo al numerosas veces reiterado principio, según el cual la inconsecuencia o falta de previsión jamás se supone en el legislador y, por esto, se reconoce como regla inconcusa que la interpretación de las leyes debe hacerse siempre evitando darles un sentido que ponga en pugna sus disposiciones, destruyendo las unas por las otras, y adoptando  como verdadero el sentido que las concilie y deje a todas con valor y efecto…” (considerando 43°). </w:t>
      </w:r>
    </w:p>
    <w:p w14:paraId="477EDA9B"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En función de estas consideraciones, la mayoría del tribunal decide considerar inconstitucional la actualización dispuesta por el artículo 7° inciso 1 apartado b de la ley 24.463 y sus decretos reglamentarios, por ser irrazonables en su aplicación concreta y no garantizar el derecho constitucional afectado con eficacia (considerando 47°). Y estima que debe aplicarse otro sistema de actualización entre 1991 y 1994, relacionada con la variación del AMPO (Aporte Medio Previsional Obligatorio), para luego aplicar como coeficiente de actualización el </w:t>
      </w:r>
      <w:r w:rsidRPr="00186518">
        <w:rPr>
          <w:rFonts w:ascii="Verdana" w:eastAsia="Times New Roman" w:hAnsi="Verdana" w:cs="Arial"/>
          <w:sz w:val="24"/>
          <w:szCs w:val="24"/>
          <w:lang w:val="es-ES" w:eastAsia="es-ES"/>
        </w:rPr>
        <w:lastRenderedPageBreak/>
        <w:t xml:space="preserve">dispuesto por el artículo 7° inciso 2° de la ley 24.463 (considerando 48°). </w:t>
      </w:r>
    </w:p>
    <w:p w14:paraId="689555BB"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En definitiva, la mayoría del Tribunal decide: declarar abstracta la cuestión relativa al pago de los intereses reclamados (a los que el actor había renunciado), declarar procedente el recurso en los restantes temas, revocar la sentencia apelada, declarar inconstitucional el inciso 1° apartado b del artículo 7° de la ley 24.463 y aplicar otro sistema de actualización de haberes previsionales entre 1991 y 1994 conforme lo establecido en el fallo. Como se puede advertir, en este extenso voto la Corte aplica un sistema novedoso de actualización de haberes jubilatorios (que resulta inferior al reclamado por el actor) y para justificar su decisión alude reiterada y explícitamente a la cuestión de la interpretación de la Constitución y las leyes, estableciendo criterios complejos y métodos variados para realizar esta tarea. También pienso que en este fallo el Alto Tribunal hace una interpretación dinámica de los derechos constitucionales vinculada a la emergencia socioeconómica.</w:t>
      </w:r>
    </w:p>
    <w:p w14:paraId="4406D694"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El Doctor Boggiano elaboró un voto con fundamentos propios, coincidiendo con la decisión mayoritaria. Como ejemplos indicaremos algunos de sus argumentos principales. En este sentido, destaca que el sentido de la movilidad jubilatoria reconocida en el tercer párrafo del artículo 14 bis CN puede ser reglamentado razonablemente pero no desconocido por el legislador (considerando 7°), pero que deben relacionarse con los recursos financieros existentes en las arcas estatales (considerando 8°), lo que constituye un argumento de tipo pragmático o realista. </w:t>
      </w:r>
    </w:p>
    <w:p w14:paraId="5562B7F7" w14:textId="071C18CE"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Utiliza también precedentes jurisprudenciales de la misma Corte (autoprecedentes) (considerando 10°), e interpretación sistemática similar a la indicada por la mayoría (considerando 11°) al señalar la importancia de los Tratados sobre Derechos Humanos que han adquirido Jerarquía Constitucional luego de la reforma Constitucional de 1994 y la </w:t>
      </w:r>
      <w:r w:rsidRPr="00186518">
        <w:rPr>
          <w:rFonts w:ascii="Verdana" w:eastAsia="Times New Roman" w:hAnsi="Verdana" w:cs="Arial"/>
          <w:sz w:val="24"/>
          <w:szCs w:val="24"/>
          <w:lang w:val="es-ES" w:eastAsia="es-ES"/>
        </w:rPr>
        <w:lastRenderedPageBreak/>
        <w:t>necesidad de realizar dicha hermenéutica. Asimismo</w:t>
      </w:r>
      <w:r w:rsidR="00B5004F">
        <w:rPr>
          <w:rFonts w:ascii="Verdana" w:eastAsia="Times New Roman" w:hAnsi="Verdana" w:cs="Arial"/>
          <w:sz w:val="24"/>
          <w:szCs w:val="24"/>
          <w:lang w:val="es-ES" w:eastAsia="es-ES"/>
        </w:rPr>
        <w:t>,</w:t>
      </w:r>
      <w:r w:rsidRPr="00186518">
        <w:rPr>
          <w:rFonts w:ascii="Verdana" w:eastAsia="Times New Roman" w:hAnsi="Verdana" w:cs="Arial"/>
          <w:sz w:val="24"/>
          <w:szCs w:val="24"/>
          <w:lang w:val="es-ES" w:eastAsia="es-ES"/>
        </w:rPr>
        <w:t xml:space="preserve"> destaca la relevancia del este principio hermenéutico de sistematicidad relacionándolo con la idea del legislador coherente y racional (considerando 15°), con cita de autoprecedentes.  El magistrado utiliza entonces primordialmente el método sistemático. </w:t>
      </w:r>
    </w:p>
    <w:p w14:paraId="47387485" w14:textId="33B99FED"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Similar decisión tomó el Doctor Vázquez. Tomando algunos ejemplos de sus fundamentos, destacamos que apela al método de interpretación histórico, cuando en el considerando 5° y siguientes, donde explica el surgimiento de los sistemas previsionales y su evolución hacia un sistema universal, solidario y de reparto. Señala también en su voto el fracaso del sistema, fruto de políticas a las que califica de “voluntaristas” (considerando 10°). Continuando con su desarrollo explica posteriormente la emergencia previsional y las distintas herramientas utilizadas por el legislador (considerandos 12° y 13°), para concluir en que estas causas han impedido la aplicación plena del artículo 14 bis CN en la materia (considerando 14°). Ante esta realidad, propone para impartir justicia en el caso a partir de una interpretación sistemática y dinámica (considerando 18°), considerando a la movilidad jubilatoria prevista en la Constitución Nacional como un “enunciado puramente programático” (considerando 19°) y, por ende, pasible de amplia reglamentación legislativa. Refuerza este argumento con cita de autoprecedentes de la Corte Suprema en la materia. </w:t>
      </w:r>
    </w:p>
    <w:p w14:paraId="5BDADA79" w14:textId="0088BC72"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Con un criterio deferente hacia las atribuciones del legislador y extensivo del poder de policía (considerandos 23° y 24°, por ejemplo), justifica la legislación previsional vigente al momento del dictado de la sentencia, con excepción del artículo 7° inciso 1 apartado b de la ley 24.463, al que estima inconstitucional por omisión, al no prever un sistema de real actualización de haberes por tres años, lo que estima “in</w:t>
      </w:r>
      <w:r w:rsidR="002A6549">
        <w:rPr>
          <w:rFonts w:ascii="Verdana" w:eastAsia="Times New Roman" w:hAnsi="Verdana" w:cs="Arial"/>
          <w:sz w:val="24"/>
          <w:szCs w:val="24"/>
          <w:lang w:val="es-ES" w:eastAsia="es-ES"/>
        </w:rPr>
        <w:t>ad</w:t>
      </w:r>
      <w:r w:rsidRPr="00186518">
        <w:rPr>
          <w:rFonts w:ascii="Verdana" w:eastAsia="Times New Roman" w:hAnsi="Verdana" w:cs="Arial"/>
          <w:sz w:val="24"/>
          <w:szCs w:val="24"/>
          <w:lang w:val="es-ES" w:eastAsia="es-ES"/>
        </w:rPr>
        <w:t xml:space="preserve">misible” (considerando 27°). En este orden de ideas, coincide con la decisión de la mayoría. </w:t>
      </w:r>
    </w:p>
    <w:p w14:paraId="75FC2AB9" w14:textId="32F640F9"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lastRenderedPageBreak/>
        <w:t xml:space="preserve">Los Doctores Belluscio, Petracchi y Bossert votaron conjuntamente en disidencia. Brindaré algunos ejemplos de sus fundamentos. En el considerando 7° esta disidencia realiza una interpretación de tipo finalista, a partir de argumentos axiológicos y principialistas. Al destacar la relevancia del principio protectorio en materia previsional que debe ser satisfecho a través de la celeridad procesal en el caso. Ello a los efectos de justificar la decisión de la Corte sobre el fondo del asunto, sin remisión a Tribunales Inferiores. También, en oposición al voto de Vázquez, consideran a los haberes jubilatorios como protegidos por la Constitución, fruto de la remuneración que cobraban los trabajadores pasivos cuando estaban en actividad, y que forman parte del patrimonio de los jubilados, lo que constituye un límite infranqueable al legislador. </w:t>
      </w:r>
    </w:p>
    <w:p w14:paraId="65FFE215"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Lo que advertimos aquí es una visión más restringida o restrictiva del poder de policía del Estado en la materia (considerando 9°). En este orden de ideas, en el considerando siguiente se alude como características de la seguridad social, sus condiciones de “integral” e “irrenunciable”. Si bien coincide en que la movilidad jubilatoria está sujeta a la reglamentación legislativa, enfatiza los límites constitucionales de dicha reglamentación (considerando 12°). </w:t>
      </w:r>
    </w:p>
    <w:p w14:paraId="2491289B"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En el siguiente considerando, y con cita de autoprecedentes, destacan que la Corte ha considerado inconstitucional la inmovilidad absoluta de los haberes jubilatorios por término incierto. En el considerando 15°, utilizando una hermenéutica finalista, destacan el carácter humanista, y no meramente economicista, de la movilidad jubilatoria. Y en este sentido defienden la constitucionalidad de la ley 18.037 y su fórmula de actualización de haberes, estimado que la misma no se encuentra en colisión con la ley 23.928, para lo cual se utilizan argumentos históricos, ya que se alude a los debates parlamentarios de dicha ley (considerando 28°). </w:t>
      </w:r>
    </w:p>
    <w:p w14:paraId="6FCF8824"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lastRenderedPageBreak/>
        <w:t>Asimismo, se advierte un argumento de tipo analógico ya que consideran al haber jubilatorio como prestación sustitutiva del salario, por lo que deben guardar una razonable proporcionalidad (considerando 30°). En el considerando 40° luce un argumento de tipo principialista, ya que se cita que cualquier eventual contradicción legislativa en la materia debería resolverse a partir del principio “in dubio pro justicia socialis”, principio que ostenta, para estos magistrados, rango constitucional. Se utiliza entonces el método de interpretación finalista.</w:t>
      </w:r>
    </w:p>
    <w:p w14:paraId="07A6B203"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También este voto disidente se aparta de lo resuelto por la mayoría, proponiendo atenerse a la ley 18.037 a los fines de no crear un sistema de actualización pretoriano, lo que considera lesivo del principio de separación de poderes. Pese a ello, deciden que deberá estarse a lo dispuesto por el fallo de Cámara, ya que, de aplicarse el criterio legal de movilidad, se perjudicaría al apelante (ANSES), lo que configuraría una “reformatio in pejus” contraria a la garantía de la defensa en juicio (considerando 58). </w:t>
      </w:r>
    </w:p>
    <w:p w14:paraId="2107C3FB"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En este orden de ideas, esta disidencia dispone declarar procedente el recurso extraordinario interpuesto, salvo en lo que respecta a la tasa de interés, revocar la declaración de inconstitucionalidad de los artículos 53 y 55 de la ley 18.037, mantener el régimen de movilidad dispuesto por el fallo de Cámara, y desechar los agravios manifestados contra el régimen de movilidad de la ley 24.463. </w:t>
      </w:r>
    </w:p>
    <w:p w14:paraId="41F63213"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El Doctor Carlos Fayt también votó en disidencia. De su decisión podemos señalar varios argumentos. En primer lugar, en el considerando 5° hace una enfática defensa de la plena vigencia de los derechos y garantías constitucionales, incluidos los previstos en el artículo 14 bis CN sobre la seguridad social, que será “integral” e irrenunciable”. En una interpretación finalista y sistemática de la norma suprema, sostiene Fayt que: “De tal modo, es por imperio de la Constitución Nacional, que en nuestro país el sistema provisional se </w:t>
      </w:r>
      <w:r w:rsidRPr="00186518">
        <w:rPr>
          <w:rFonts w:ascii="Verdana" w:eastAsia="Times New Roman" w:hAnsi="Verdana" w:cs="Arial"/>
          <w:sz w:val="24"/>
          <w:szCs w:val="24"/>
          <w:lang w:val="es-ES" w:eastAsia="es-ES"/>
        </w:rPr>
        <w:lastRenderedPageBreak/>
        <w:t xml:space="preserve">articuló sobre la base de la protección estatal, la movilidad de las prestaciones y la tutela de los derechos adquiridos.” Esta aseveración conlleva implícitamente una interpretación limitada y restringida sobre el poder de policía y las facultades reglamentarias del legislador en la materia. </w:t>
      </w:r>
    </w:p>
    <w:p w14:paraId="1CEBDE18"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Agrega a estos fundamentos un argumento de carácter doctrinario, en el considerando 6°, citando a Joaquín V. González, y sosteniendo que sus dichos, en el sentido de que la necesaria intervención del Poder Judicial, a los efectos de defender la supremacía de la Constitución es corolario precisamente de ese carácter de la norma suprema y del principio de separación de poderes, garantía de la libertad y los derechos. Haciendo énfasis en la importancia de la cuestión, la califica como de “gravedad institucional” (considerando 7°). </w:t>
      </w:r>
    </w:p>
    <w:p w14:paraId="1FB3F45F"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En el considerando 8° el magistrado realiza una detallada exposición de los antecedentes históricos del artículo 14 bis CN en la Convención Reformadora de 1957 (método de interpretación histórico), detallando que la voluntad o finalidad del Constituyente histórico era garantizar la integralidad e irrenunciabilidad de la seguridad social, vocablo amplio que debía comprender no solamente a las prestaciones jubilatorias, sino también a otros conceptos, como la seguridad e higiene en el trabajo, la protección de los incapacitados, la de los desempleados, etc. En el siguiente considerando, se realiza una argumentación de tipo axiológica al valorativa, ya que Fayt sostiene, con respecto al desempeño concreto del sistema previsional, que: “El éxito del emprendimiento suponía el compromiso ético entre la sociedad y el Estado y con la clara conciencia de que se estaba gestando un pacto de solidaridad y un explícito enlace intergeneracional.” Se destaca entonces como guía interpretativa en materia provisional la defensa del valor solidaridad intergeneracional. </w:t>
      </w:r>
    </w:p>
    <w:p w14:paraId="55B29616"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En los considerandos 10°, 11° y 12° el magistrado describe el fracaso histórico del sistema provisional a partir del incumplimiento de las </w:t>
      </w:r>
      <w:r w:rsidRPr="00186518">
        <w:rPr>
          <w:rFonts w:ascii="Verdana" w:eastAsia="Times New Roman" w:hAnsi="Verdana" w:cs="Arial"/>
          <w:sz w:val="24"/>
          <w:szCs w:val="24"/>
          <w:lang w:val="es-ES" w:eastAsia="es-ES"/>
        </w:rPr>
        <w:lastRenderedPageBreak/>
        <w:t xml:space="preserve">pautas y principios enumerados previamente. Posteriormente destaca y pone en su debido cauce el rol de la Justicia, que es la de ejercer el control de la normativa sancionada por el Congreso en reglamentación de las disposiciones constitucionales, vale decir un control a posteriori (considerando 13°). En el considerando 14° Fayt establece el alcance del concepto de movilidad, realizando una interpretación semántica y extensiva de esta garantía: “...asegurando a los beneficiarios un nivel de vida similar, dentro de una proporcionalidad justa y razonable, a las que le proporcionaba, a él y a su núcleo familiar, las remuneraciones percibidas en la actividad. Se trata, por consiguiente, de una técnica o mecanismo que garantiza la adecuada relación del haber con el nivel de ingresos de los agentes en actividad.” </w:t>
      </w:r>
    </w:p>
    <w:p w14:paraId="3F349EF6" w14:textId="604863AB"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Rechaza posteriormente los argumentos económicos y consecuencialistas –sostenidos en los votos de la mayoría- por estimar que no pueden justificar el quebrantamiento de los principios constitucionales. A partir de los considerandos siguientes el juez trata el conflicto normativo que presenta el litigio, estimando que la mejor garantía de la movilidad jubilatoria consiste en el mantenimiento del cálculo establecido por la ley 18.037, desechando cualquier fórmula de carácter pretoriano para dilucidar la presente cuestión (considerando 21°). Posteriormente, en el considerando 25° y, reconociendo la crisis económica del país en general y previsional en particular, presenta un argumento axiológico al sostener que la guía para resolver el problema está en la concreción del valor fraternidad y solidaridad, y en reconocer el carácter alimentario de las prestaciones provisionales. </w:t>
      </w:r>
    </w:p>
    <w:p w14:paraId="60C31C75"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En virtud de estas y otras consideraciones, el Dr. Fayt decide dejar sin efecto la declaración de inconstitucionalidad de los artículos 53 y 55 de la ley 18.037, establecer que el régimen de movilidad dispuesto por el primero de esos artículos sigue vigente y no ha sido derogado implícitamente por la ley 23.928, declarar la inconstitucionalidad del </w:t>
      </w:r>
      <w:r w:rsidRPr="00186518">
        <w:rPr>
          <w:rFonts w:ascii="Verdana" w:eastAsia="Times New Roman" w:hAnsi="Verdana" w:cs="Arial"/>
          <w:sz w:val="24"/>
          <w:szCs w:val="24"/>
          <w:lang w:val="es-ES" w:eastAsia="es-ES"/>
        </w:rPr>
        <w:lastRenderedPageBreak/>
        <w:t xml:space="preserve">artículo 7°, inciso 1, apartado b, de la ley 24.463 por “pulverizar” la movilidad jubilatoria y dejar firme el cálculo de movilidad establecido en autos por la Cámara de Apelaciones, limitando la aplicación del criterio de la ley 18.037. </w:t>
      </w:r>
    </w:p>
    <w:p w14:paraId="38278D38" w14:textId="6B31DF4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Como puede advertirse, en este extenso fallo se encuentran explicitados variados argumentos y </w:t>
      </w:r>
      <w:r w:rsidR="00A8297F">
        <w:rPr>
          <w:rFonts w:ascii="Verdana" w:eastAsia="Times New Roman" w:hAnsi="Verdana" w:cs="Arial"/>
          <w:sz w:val="24"/>
          <w:szCs w:val="24"/>
          <w:lang w:val="es-ES" w:eastAsia="es-ES"/>
        </w:rPr>
        <w:t>criterios</w:t>
      </w:r>
      <w:r w:rsidRPr="00186518">
        <w:rPr>
          <w:rFonts w:ascii="Verdana" w:eastAsia="Times New Roman" w:hAnsi="Verdana" w:cs="Arial"/>
          <w:sz w:val="24"/>
          <w:szCs w:val="24"/>
          <w:lang w:val="es-ES" w:eastAsia="es-ES"/>
        </w:rPr>
        <w:t xml:space="preserve"> de interpretación constitucional que justificaron decisiones disímiles de los distintos magistrados</w:t>
      </w:r>
      <w:r w:rsidR="00A8297F">
        <w:rPr>
          <w:rFonts w:ascii="Verdana" w:eastAsia="Times New Roman" w:hAnsi="Verdana" w:cs="Arial"/>
          <w:sz w:val="24"/>
          <w:szCs w:val="24"/>
          <w:lang w:val="es-ES" w:eastAsia="es-ES"/>
        </w:rPr>
        <w:t>, en una sentencia que finalmente tiene un carácter restrictivo en materia de interpretación de los derechos sociales.</w:t>
      </w:r>
      <w:r w:rsidRPr="00186518">
        <w:rPr>
          <w:rFonts w:ascii="Verdana" w:eastAsia="Times New Roman" w:hAnsi="Verdana" w:cs="Arial"/>
          <w:sz w:val="24"/>
          <w:szCs w:val="24"/>
          <w:lang w:val="es-ES" w:eastAsia="es-ES"/>
        </w:rPr>
        <w:t xml:space="preserve">  </w:t>
      </w:r>
    </w:p>
    <w:p w14:paraId="60617994" w14:textId="77777777" w:rsidR="00186518" w:rsidRPr="00186518" w:rsidRDefault="00186518" w:rsidP="00AE689A">
      <w:pPr>
        <w:spacing w:after="0" w:line="360" w:lineRule="auto"/>
        <w:rPr>
          <w:rFonts w:ascii="Verdana" w:eastAsia="Times New Roman" w:hAnsi="Verdana" w:cs="Arial"/>
          <w:sz w:val="24"/>
          <w:szCs w:val="24"/>
          <w:lang w:val="es-ES" w:eastAsia="es-ES"/>
        </w:rPr>
      </w:pPr>
    </w:p>
    <w:p w14:paraId="1682139C" w14:textId="3FB27953" w:rsidR="00186518" w:rsidRDefault="00186518" w:rsidP="007F00E5">
      <w:pPr>
        <w:rPr>
          <w:rFonts w:ascii="Verdana" w:eastAsia="Times New Roman" w:hAnsi="Verdana" w:cs="Arial"/>
          <w:b/>
          <w:bCs/>
          <w:sz w:val="24"/>
          <w:szCs w:val="24"/>
          <w:lang w:val="es-ES" w:eastAsia="es-ES"/>
        </w:rPr>
      </w:pPr>
      <w:r w:rsidRPr="00A41F96">
        <w:rPr>
          <w:rFonts w:ascii="Verdana" w:eastAsia="Times New Roman" w:hAnsi="Verdana" w:cs="Arial"/>
          <w:b/>
          <w:bCs/>
          <w:sz w:val="24"/>
          <w:szCs w:val="24"/>
          <w:lang w:val="es-ES" w:eastAsia="es-ES"/>
        </w:rPr>
        <w:t>Villarreal, Adolfo c/ Roemmers s/ cobro de salarios (1997)</w:t>
      </w:r>
      <w:r w:rsidR="004F7AB6">
        <w:rPr>
          <w:rFonts w:ascii="Verdana" w:eastAsia="Times New Roman" w:hAnsi="Verdana" w:cs="Arial"/>
          <w:b/>
          <w:bCs/>
          <w:sz w:val="24"/>
          <w:szCs w:val="24"/>
          <w:lang w:val="es-ES" w:eastAsia="es-ES"/>
        </w:rPr>
        <w:t>: interpretación dinámica con criterio restrictivo</w:t>
      </w:r>
    </w:p>
    <w:p w14:paraId="3CE53C85" w14:textId="77777777" w:rsidR="007F00E5" w:rsidRPr="00A41F96" w:rsidRDefault="007F00E5" w:rsidP="007F00E5">
      <w:pPr>
        <w:rPr>
          <w:rFonts w:ascii="Verdana" w:eastAsia="Times New Roman" w:hAnsi="Verdana" w:cs="Arial"/>
          <w:b/>
          <w:bCs/>
          <w:sz w:val="24"/>
          <w:szCs w:val="24"/>
          <w:lang w:val="es-ES" w:eastAsia="es-ES"/>
        </w:rPr>
      </w:pPr>
    </w:p>
    <w:p w14:paraId="17371048" w14:textId="0CF1A2E9"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El 10 de diciembre de 1997 la Corte Suprema resolvió la causa: “Villarreal, Adolfo c/ Roemmers s/ cobro de salarios” (Fallos: 320:2665). Los hechos eran los siguientes: el actor, agente de propaganda médica del laboratorio demandado, cuestionaba el tope impuesto a su indemnización por despido –conforme la modificación introducida en el art. 245 de la Ley de Contrato de Trabajo por la ley 24.013- por considerar que la misma lesionaba del derecho constitucional a la protección contra el despido arbitrario que reconoce al trabajador individual el artículo 14 bis de la CN y el derecho de propiedad, previsto en los artículos 14 y 17 CN. La Sala VI de la Cámara Nacional de Apelaciones del Trabajo modificó la sentencia de primera instancia e hizo lugar a la demanda por diferencias de indemnización y declaró la inconstitucionalidad del tope a la indemnización por despido incorporado a la legislación vigente por la ley 24.013. Contra esta decisión, la parte demandada interpuso recurso extraordinario federal. Fundamenta la apelación en los artículos 17, 18 y 19 de la Ley Fundamental. </w:t>
      </w:r>
    </w:p>
    <w:p w14:paraId="36784E02" w14:textId="2D037B6B"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lastRenderedPageBreak/>
        <w:t>Asimismo</w:t>
      </w:r>
      <w:r w:rsidR="007A7A35">
        <w:rPr>
          <w:rFonts w:ascii="Verdana" w:eastAsia="Times New Roman" w:hAnsi="Verdana" w:cs="Arial"/>
          <w:sz w:val="24"/>
          <w:szCs w:val="24"/>
          <w:lang w:val="es-ES" w:eastAsia="es-ES"/>
        </w:rPr>
        <w:t>,</w:t>
      </w:r>
      <w:r w:rsidRPr="00186518">
        <w:rPr>
          <w:rFonts w:ascii="Verdana" w:eastAsia="Times New Roman" w:hAnsi="Verdana" w:cs="Arial"/>
          <w:sz w:val="24"/>
          <w:szCs w:val="24"/>
          <w:lang w:val="es-ES" w:eastAsia="es-ES"/>
        </w:rPr>
        <w:t xml:space="preserve"> consideraba que el artículo 14 bis CN no se encontraba afectado en el caso. En particular, destacaba que el tope salarial impugnado surgía de un convenio colectivo de trabajo en cuya celebración habían participado representantes legítimos de los trabajadores. </w:t>
      </w:r>
    </w:p>
    <w:p w14:paraId="405570E1" w14:textId="02552212"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La Corte Suprema admit</w:t>
      </w:r>
      <w:r w:rsidR="007A7A35">
        <w:rPr>
          <w:rFonts w:ascii="Verdana" w:eastAsia="Times New Roman" w:hAnsi="Verdana" w:cs="Arial"/>
          <w:sz w:val="24"/>
          <w:szCs w:val="24"/>
          <w:lang w:val="es-ES" w:eastAsia="es-ES"/>
        </w:rPr>
        <w:t>ió</w:t>
      </w:r>
      <w:r w:rsidRPr="00186518">
        <w:rPr>
          <w:rFonts w:ascii="Verdana" w:eastAsia="Times New Roman" w:hAnsi="Verdana" w:cs="Arial"/>
          <w:sz w:val="24"/>
          <w:szCs w:val="24"/>
          <w:lang w:val="es-ES" w:eastAsia="es-ES"/>
        </w:rPr>
        <w:t xml:space="preserve"> el recurso extraordinario y res</w:t>
      </w:r>
      <w:r w:rsidR="008C01E7">
        <w:rPr>
          <w:rFonts w:ascii="Verdana" w:eastAsia="Times New Roman" w:hAnsi="Verdana" w:cs="Arial"/>
          <w:sz w:val="24"/>
          <w:szCs w:val="24"/>
          <w:lang w:val="es-ES" w:eastAsia="es-ES"/>
        </w:rPr>
        <w:t>ol</w:t>
      </w:r>
      <w:r w:rsidRPr="00186518">
        <w:rPr>
          <w:rFonts w:ascii="Verdana" w:eastAsia="Times New Roman" w:hAnsi="Verdana" w:cs="Arial"/>
          <w:sz w:val="24"/>
          <w:szCs w:val="24"/>
          <w:lang w:val="es-ES" w:eastAsia="es-ES"/>
        </w:rPr>
        <w:t>v</w:t>
      </w:r>
      <w:r w:rsidR="007A7A35">
        <w:rPr>
          <w:rFonts w:ascii="Verdana" w:eastAsia="Times New Roman" w:hAnsi="Verdana" w:cs="Arial"/>
          <w:sz w:val="24"/>
          <w:szCs w:val="24"/>
          <w:lang w:val="es-ES" w:eastAsia="es-ES"/>
        </w:rPr>
        <w:t>ió</w:t>
      </w:r>
      <w:r w:rsidRPr="00186518">
        <w:rPr>
          <w:rFonts w:ascii="Verdana" w:eastAsia="Times New Roman" w:hAnsi="Verdana" w:cs="Arial"/>
          <w:sz w:val="24"/>
          <w:szCs w:val="24"/>
          <w:lang w:val="es-ES" w:eastAsia="es-ES"/>
        </w:rPr>
        <w:t xml:space="preserve"> la cuestión a través de un fallo sin disidencias, firmado por los Dres. Eduardo Moliné O’ Connor, Augusto César Belluscio, Antonio Boggiano, Guillermo A. F. López y Adolfo Roberto Vázquez. En el mismo podemos encontrar un argumento jurisprudencial, ya que en el considerando 5° la Corte cita sus propios precedentes (autoprecedente), señalando que ya en circunstancias anteriores ya había establecido que la indemnización tarifada prevista por el artículo 245 de la Ley de Contrato de Trabajo era razonable y por ende compatible con la Norma Fundamental (cita de Fallos: 302:654 y 304:543). </w:t>
      </w:r>
    </w:p>
    <w:p w14:paraId="28D82C86"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En una visión restrictiva de las atribuciones de control de los jueces (y amplia de las facultades del  legislador) en la materia se sostuvo que: “...corresponde al legislador, en cumplimiento del deber constitucional del Estado de asegurar la protección del trabajador contra el despido arbitrario (art. 14 bis de la Constitución Nacional), establecer las bases jurídicas que reglamentan las relaciones de trabajo y las consecuencias que se derivan de la ruptura del contrato laboral, sin que los jueces se hallen facultados para decidir sobre el mérito o conveniencia de la legislación sobre la materia...” </w:t>
      </w:r>
    </w:p>
    <w:p w14:paraId="0830E0C8"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Continuando con su razonamiento, en el considerando 7°, el Alto Tribunal aplica analógicamente un precedente jurisprudencial propio sobre otra cuestión perteneciente al ámbito del Derecho del Trabajo (Fallos: 306:1964, argumento de autoprecedente). En el mismo se establecía la validez de los módulos vinculados al salario mínimo elaborados por el Poder Ejecutivo, al que le corresponde reconocer una </w:t>
      </w:r>
      <w:r w:rsidRPr="00186518">
        <w:rPr>
          <w:rFonts w:ascii="Verdana" w:eastAsia="Times New Roman" w:hAnsi="Verdana" w:cs="Arial"/>
          <w:sz w:val="24"/>
          <w:szCs w:val="24"/>
          <w:lang w:val="es-ES" w:eastAsia="es-ES"/>
        </w:rPr>
        <w:lastRenderedPageBreak/>
        <w:t>razonable amplitud de criterio para determinar los alcances de la política económica y social en aras del bienestar general, siempre y cuando no se demuestre que dicho Poder ha incurrido en decisiones absurdas o arbitrarias. Se advierte aquí el uso de argumentos de tipo pragmático y económico.</w:t>
      </w:r>
    </w:p>
    <w:p w14:paraId="562C12CD" w14:textId="013D9FE8"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Posteriormente, en el considerando 8°, estima </w:t>
      </w:r>
      <w:r w:rsidR="00A675CD">
        <w:rPr>
          <w:rFonts w:ascii="Verdana" w:eastAsia="Times New Roman" w:hAnsi="Verdana" w:cs="Arial"/>
          <w:sz w:val="24"/>
          <w:szCs w:val="24"/>
          <w:lang w:val="es-ES" w:eastAsia="es-ES"/>
        </w:rPr>
        <w:t>que hay que destacar</w:t>
      </w:r>
      <w:r w:rsidRPr="00186518">
        <w:rPr>
          <w:rFonts w:ascii="Verdana" w:eastAsia="Times New Roman" w:hAnsi="Verdana" w:cs="Arial"/>
          <w:sz w:val="24"/>
          <w:szCs w:val="24"/>
          <w:lang w:val="es-ES" w:eastAsia="es-ES"/>
        </w:rPr>
        <w:t xml:space="preserve"> que el tope indemnizatorio no fue establecido en forma unilateral por el Poder Ejecutivo en el caso, sino que refleja un acuerdo colectivo entre partes, y que el monto indemnizatorio es razonable, por lo que no hay lesión al derecho de propiedad del actor. De alguna manera esta decisión otorga un alcance extensivo a la facultad reglamentaria del legislador. </w:t>
      </w:r>
    </w:p>
    <w:p w14:paraId="73DA1A83"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En virtud de estos argumentos y consideraciones se decidió en la causa declarar procedente el recurso extraordinario y dejar sin efecto la sentencia de Cámara, ordenando que dicho tribunal de origen dicte nueva sentencia con arreglo a la decisión tomada por la Corte. Podemos concluir que se ha utilizado en el caso una interpretación dinámica del artículo 14 bis CN, adaptándola a lo resuelto por el legislador en la materia, lo que lleva a una visión restrictiva de la protección contra el despido arbitrario. Entiendo que el caso es otro ejemplo de interpretación dinámica de los derechos constitucionales ligada a la emergencia.</w:t>
      </w:r>
    </w:p>
    <w:p w14:paraId="1864397F" w14:textId="77777777" w:rsidR="00186518" w:rsidRPr="00186518" w:rsidRDefault="00186518" w:rsidP="00AE689A">
      <w:pPr>
        <w:spacing w:after="0" w:line="360" w:lineRule="auto"/>
        <w:rPr>
          <w:rFonts w:ascii="Verdana" w:eastAsia="Times New Roman" w:hAnsi="Verdana" w:cs="Arial"/>
          <w:sz w:val="24"/>
          <w:szCs w:val="24"/>
          <w:lang w:val="es-ES" w:eastAsia="es-ES"/>
        </w:rPr>
      </w:pPr>
    </w:p>
    <w:p w14:paraId="57FE7961" w14:textId="552F264C" w:rsidR="00186518" w:rsidRDefault="00186518" w:rsidP="00AE689A">
      <w:pPr>
        <w:spacing w:after="0" w:line="360" w:lineRule="auto"/>
        <w:rPr>
          <w:rFonts w:ascii="Verdana" w:eastAsia="Times New Roman" w:hAnsi="Verdana" w:cs="Arial"/>
          <w:b/>
          <w:bCs/>
          <w:sz w:val="24"/>
          <w:szCs w:val="24"/>
          <w:lang w:val="es-ES" w:eastAsia="es-ES"/>
        </w:rPr>
      </w:pPr>
      <w:bookmarkStart w:id="4" w:name="_Hlk44539204"/>
      <w:r w:rsidRPr="00EA587E">
        <w:rPr>
          <w:rFonts w:ascii="Verdana" w:eastAsia="Times New Roman" w:hAnsi="Verdana" w:cs="Arial"/>
          <w:b/>
          <w:bCs/>
          <w:sz w:val="24"/>
          <w:szCs w:val="24"/>
          <w:lang w:val="es-ES" w:eastAsia="es-ES"/>
        </w:rPr>
        <w:t>Guida, Liliana c/ Poder Ejecutivo s/ empleo público (2000)</w:t>
      </w:r>
      <w:r w:rsidR="00126C46">
        <w:rPr>
          <w:rFonts w:ascii="Verdana" w:eastAsia="Times New Roman" w:hAnsi="Verdana" w:cs="Arial"/>
          <w:b/>
          <w:bCs/>
          <w:sz w:val="24"/>
          <w:szCs w:val="24"/>
          <w:lang w:val="es-ES" w:eastAsia="es-ES"/>
        </w:rPr>
        <w:t>: interpretación combinada y mirada restrictiva</w:t>
      </w:r>
    </w:p>
    <w:bookmarkEnd w:id="4"/>
    <w:p w14:paraId="0CDD0263" w14:textId="77777777" w:rsidR="005F7082" w:rsidRPr="00EA587E" w:rsidRDefault="005F7082" w:rsidP="00AE689A">
      <w:pPr>
        <w:spacing w:after="0" w:line="360" w:lineRule="auto"/>
        <w:rPr>
          <w:rFonts w:ascii="Verdana" w:eastAsia="Times New Roman" w:hAnsi="Verdana" w:cs="Arial"/>
          <w:b/>
          <w:bCs/>
          <w:sz w:val="24"/>
          <w:szCs w:val="24"/>
          <w:lang w:val="es-ES" w:eastAsia="es-ES"/>
        </w:rPr>
      </w:pPr>
    </w:p>
    <w:p w14:paraId="58835993"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El 2 de junio del año 2000, la Corte Suprema, en un fallo con disidencias, resolvió la causa “Guida, Liliana c/ Poder Ejecutivo s/ empleo público” (Fallos: 323:1566). El motivo central del proceso tenía que ver con la reducción de la remuneración y liquidación de los haberes </w:t>
      </w:r>
      <w:r w:rsidRPr="00186518">
        <w:rPr>
          <w:rFonts w:ascii="Verdana" w:eastAsia="Times New Roman" w:hAnsi="Verdana" w:cs="Arial"/>
          <w:sz w:val="24"/>
          <w:szCs w:val="24"/>
          <w:lang w:val="es-ES" w:eastAsia="es-ES"/>
        </w:rPr>
        <w:lastRenderedPageBreak/>
        <w:t xml:space="preserve">que la actora percibía en su condición de empleada pública, en virtud del sistema implementado por el decreto 290/95, ratificado por la ley 24.624. El decreto mencionado era calificado como de necesidad y urgencia (DNU) y por lo tanto sujeto a lo dispuesto en el artículo 99 inciso 3º de la CN. Se encontraban en juego el derecho a una retribución justa y la relación de empleo público, tutelada por el artículo 14 bis CN, y el derecho de propiedad, previsto en el artículo 17 CN. </w:t>
      </w:r>
    </w:p>
    <w:p w14:paraId="4210465A" w14:textId="57BFFE46"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En Primera y Segunda Instancia la petición de la accionante fue acogida favorablemente, declarándose la inconstitucionalidad del sistema de reducción de haberes de empleados públicos dispuesto por dicho decreto 290/95. Por consiguiente</w:t>
      </w:r>
      <w:r w:rsidR="00472D67">
        <w:rPr>
          <w:rFonts w:ascii="Verdana" w:eastAsia="Times New Roman" w:hAnsi="Verdana" w:cs="Arial"/>
          <w:sz w:val="24"/>
          <w:szCs w:val="24"/>
          <w:lang w:val="es-ES" w:eastAsia="es-ES"/>
        </w:rPr>
        <w:t>,</w:t>
      </w:r>
      <w:r w:rsidRPr="00186518">
        <w:rPr>
          <w:rFonts w:ascii="Verdana" w:eastAsia="Times New Roman" w:hAnsi="Verdana" w:cs="Arial"/>
          <w:sz w:val="24"/>
          <w:szCs w:val="24"/>
          <w:lang w:val="es-ES" w:eastAsia="es-ES"/>
        </w:rPr>
        <w:t xml:space="preserve"> se ordenó el reintegro a la actora de las sumas descontadas. Entre otros fundamentos, por ejemplo, la Cámara Nacional de Apelaciones en lo Contencioso Administrativo Federal (Sala IV), sostuvo que el Poder Ejecutivo no invocó la imposibilidad de seguir los trámites ordinarios previstos por la CN para la sanción de las leyes –requisito fáctico previsto expresamente en el articulado constitucional-, que la norma vulneraba el derecho de propiedad previsto en el artículo 17 CN ya que no se trataba de una limitación temporal sino definitiva, y que la ratificación legislativa posterior (ley 24.624, de Presupuesto Nacional), si bien remediaba el defecto de origen no purgaba los vicios que afectaban la decisión, como la vulneración del derecho de propiedad. </w:t>
      </w:r>
    </w:p>
    <w:p w14:paraId="0567BE65"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También consideró al decreto como violatorio de la garantía de igualdad prevista en el artículo 16 CN, ya que afectaba solamente a algunos empleados del Estado. Frente a esta decisión, el Estado Nacional dedujo recurso extraordinario fundado en que la cuestión era de gravedad institucional y la decisión del a quo adolecía de manifiesta arbitrariedad. El Procurador General de la Nación, Dr. Eduardo Nicolás Becerra, señala que es de interés que la Corte se pronuncie sobre el particular más allá de que la norma se encuentre derogada conforme el decreto 1421/97, </w:t>
      </w:r>
      <w:r w:rsidRPr="00186518">
        <w:rPr>
          <w:rFonts w:ascii="Verdana" w:eastAsia="Times New Roman" w:hAnsi="Verdana" w:cs="Arial"/>
          <w:sz w:val="24"/>
          <w:szCs w:val="24"/>
          <w:lang w:val="es-ES" w:eastAsia="es-ES"/>
        </w:rPr>
        <w:lastRenderedPageBreak/>
        <w:t xml:space="preserve">atento a que corresponde que el Alto Tribunal se expida sobre los efectos jurídicos que produjo la norma en cuestión durante el lapso en que tuvo vigencia. </w:t>
      </w:r>
    </w:p>
    <w:p w14:paraId="77FFD80B"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Entrando en el análisis del tema, descarta las objeciones hechas al decreto 290/95 relacionadas con el procedimiento de los DNU previsto en el artículo 99 inciso 3º CN atento a que, a su entender, la ratificación legislativa posterior purgaba cualquier vicio que pudiera existir.  Así planteada la situación, el Procurador sostiene luego que debe determinarse entonces la facultad que tiene el Estado para reducir los salarios de sus agentes, y, en caso afirmativo, en qué medida y con qué límites. </w:t>
      </w:r>
    </w:p>
    <w:p w14:paraId="2D101668" w14:textId="697F4FC1"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En primer término</w:t>
      </w:r>
      <w:r w:rsidR="00472D67">
        <w:rPr>
          <w:rFonts w:ascii="Verdana" w:eastAsia="Times New Roman" w:hAnsi="Verdana" w:cs="Arial"/>
          <w:sz w:val="24"/>
          <w:szCs w:val="24"/>
          <w:lang w:val="es-ES" w:eastAsia="es-ES"/>
        </w:rPr>
        <w:t>,</w:t>
      </w:r>
      <w:r w:rsidRPr="00186518">
        <w:rPr>
          <w:rFonts w:ascii="Verdana" w:eastAsia="Times New Roman" w:hAnsi="Verdana" w:cs="Arial"/>
          <w:sz w:val="24"/>
          <w:szCs w:val="24"/>
          <w:lang w:val="es-ES" w:eastAsia="es-ES"/>
        </w:rPr>
        <w:t xml:space="preserve"> señala que la doctrina admite esta facultad estatal como disposición excepcional y más allá de la naturaleza jurídica del empleo público (ya sea entendido como relación contractual o reglamentaria). En segundo lugar</w:t>
      </w:r>
      <w:r w:rsidR="00472D67">
        <w:rPr>
          <w:rFonts w:ascii="Verdana" w:eastAsia="Times New Roman" w:hAnsi="Verdana" w:cs="Arial"/>
          <w:sz w:val="24"/>
          <w:szCs w:val="24"/>
          <w:lang w:val="es-ES" w:eastAsia="es-ES"/>
        </w:rPr>
        <w:t>,</w:t>
      </w:r>
      <w:r w:rsidRPr="00186518">
        <w:rPr>
          <w:rFonts w:ascii="Verdana" w:eastAsia="Times New Roman" w:hAnsi="Verdana" w:cs="Arial"/>
          <w:sz w:val="24"/>
          <w:szCs w:val="24"/>
          <w:lang w:val="es-ES" w:eastAsia="es-ES"/>
        </w:rPr>
        <w:t xml:space="preserve"> sostiene que la doctrina lo admite si la ley que lo dispone reduce los salarios futuros, no los devengados. Y</w:t>
      </w:r>
      <w:r w:rsidR="00C33AED">
        <w:rPr>
          <w:rFonts w:ascii="Verdana" w:eastAsia="Times New Roman" w:hAnsi="Verdana" w:cs="Arial"/>
          <w:sz w:val="24"/>
          <w:szCs w:val="24"/>
          <w:lang w:val="es-ES" w:eastAsia="es-ES"/>
        </w:rPr>
        <w:t xml:space="preserve">, </w:t>
      </w:r>
      <w:r w:rsidRPr="00186518">
        <w:rPr>
          <w:rFonts w:ascii="Verdana" w:eastAsia="Times New Roman" w:hAnsi="Verdana" w:cs="Arial"/>
          <w:sz w:val="24"/>
          <w:szCs w:val="24"/>
          <w:lang w:val="es-ES" w:eastAsia="es-ES"/>
        </w:rPr>
        <w:t xml:space="preserve">en tercer término, indica que la reducción salarial debe adoptarse en el marco de una emergencia –dado su carácter de medida excepcional-, tiene que ser de efecto general, vigencia hacia el futuro, transitoria y no confiscatoria (“no desnaturalice el derecho a la retribución). Finalmente, aplicando un argumento analógico, relaciona el tema con la disminución de los haberes previsionales. En virtud de estos argumentos aconsejó a la Corte admitir el recurso extraordinario y revocar la sentencia apelada.  </w:t>
      </w:r>
    </w:p>
    <w:p w14:paraId="5D3869B9" w14:textId="177076CF"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La decisión mayoritaria de la Corte se expresó a través de varios votos. El suscripto por los Dres. Julio Nazareno y Eduardo Moliné O’Connor sostiene, en primer término, y luego de reseñar los antecedentes de la causa, que lo que se encuentra sujeto a decisión del Máximo Tribunal es el decreto 290/95 ratificado íntegramente por la ley 24.624, resaltando que dicha ratificación obra como control parlamentario de dicho decreto, cumpliéndose así con lo ordenado por el artículo 99 inciso 3º CN </w:t>
      </w:r>
      <w:r w:rsidRPr="00186518">
        <w:rPr>
          <w:rFonts w:ascii="Verdana" w:eastAsia="Times New Roman" w:hAnsi="Verdana" w:cs="Arial"/>
          <w:sz w:val="24"/>
          <w:szCs w:val="24"/>
          <w:lang w:val="es-ES" w:eastAsia="es-ES"/>
        </w:rPr>
        <w:lastRenderedPageBreak/>
        <w:t>(considerando 6º).   Creo que nos encontramos ante una hermenéutica amplia, extensiva o laxa de dicha disposición constitucional, que atiende a la finalidad de la norma</w:t>
      </w:r>
      <w:r w:rsidR="00B26DC0">
        <w:rPr>
          <w:rFonts w:ascii="Verdana" w:eastAsia="Times New Roman" w:hAnsi="Verdana" w:cs="Arial"/>
          <w:sz w:val="24"/>
          <w:szCs w:val="24"/>
          <w:lang w:val="es-ES" w:eastAsia="es-ES"/>
        </w:rPr>
        <w:t>,</w:t>
      </w:r>
      <w:r w:rsidRPr="00186518">
        <w:rPr>
          <w:rFonts w:ascii="Verdana" w:eastAsia="Times New Roman" w:hAnsi="Verdana" w:cs="Arial"/>
          <w:sz w:val="24"/>
          <w:szCs w:val="24"/>
          <w:lang w:val="es-ES" w:eastAsia="es-ES"/>
        </w:rPr>
        <w:t xml:space="preserve"> pero se aparta claramente de </w:t>
      </w:r>
      <w:r w:rsidR="00B26DC0">
        <w:rPr>
          <w:rFonts w:ascii="Verdana" w:eastAsia="Times New Roman" w:hAnsi="Verdana" w:cs="Arial"/>
          <w:sz w:val="24"/>
          <w:szCs w:val="24"/>
          <w:lang w:val="es-ES" w:eastAsia="es-ES"/>
        </w:rPr>
        <w:t>su</w:t>
      </w:r>
      <w:r w:rsidRPr="00186518">
        <w:rPr>
          <w:rFonts w:ascii="Verdana" w:eastAsia="Times New Roman" w:hAnsi="Verdana" w:cs="Arial"/>
          <w:sz w:val="24"/>
          <w:szCs w:val="24"/>
          <w:lang w:val="es-ES" w:eastAsia="es-ES"/>
        </w:rPr>
        <w:t xml:space="preserve"> letra. </w:t>
      </w:r>
    </w:p>
    <w:p w14:paraId="583CC528" w14:textId="1F09621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En el considerando 7º podemos ver la utilización del </w:t>
      </w:r>
      <w:r w:rsidR="00801EE0">
        <w:rPr>
          <w:rFonts w:ascii="Verdana" w:eastAsia="Times New Roman" w:hAnsi="Verdana" w:cs="Arial"/>
          <w:sz w:val="24"/>
          <w:szCs w:val="24"/>
          <w:lang w:val="es-ES" w:eastAsia="es-ES"/>
        </w:rPr>
        <w:t>criteri</w:t>
      </w:r>
      <w:r w:rsidRPr="00186518">
        <w:rPr>
          <w:rFonts w:ascii="Verdana" w:eastAsia="Times New Roman" w:hAnsi="Verdana" w:cs="Arial"/>
          <w:sz w:val="24"/>
          <w:szCs w:val="24"/>
          <w:lang w:val="es-ES" w:eastAsia="es-ES"/>
        </w:rPr>
        <w:t xml:space="preserve">o finalista o teleológico, ya que los magistrados puntualizan que: “…el fundamento de las leyes de emergencia es la necesidad de poner fin o remediar situaciones de gravedad que obligan a intervenir en el orden patrimonial, como una forma de hacer posible el cumplimiento de las obligaciones, a la vez que atenuar su gravitación negativa sobre el orden económico e institucional y la sociedad en su conjunto.” Este razonamiento es avalado por argumentos de carácter jurisprudencial vinculados a decisiones previas de la misma Corte Suprema. </w:t>
      </w:r>
    </w:p>
    <w:p w14:paraId="2E647F67"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En el considerando 8º se realiza una hermenéutica amplia de estas facultades de emergencia reconocidas a los Poderes Políticos a través del argumento finalista de que las mismas son razonables en la medida que ayudan a evitar un mal mayor. Como en muchas sentencias relativas a cuestiones de emergencia socioeconómica, se hace siempre presente la fundamentación relacionada con la restricción de derechos constitucionales como necesaria para la supervivencia del Estado y la continuidad del orden jurídico.  </w:t>
      </w:r>
    </w:p>
    <w:p w14:paraId="60784D29"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En idéntico sentido, el considerando 9º califica a las reducciones salariales cuestionadas como “modificaciones en los márgenes de las remuneraciones”, justificadas por una grave crisis financiera internacional, temporaria, y que no requiere de indemnización o compensación atento la naturaleza jurídica de la relación de empleo público y las prerrogativas del Estado.</w:t>
      </w:r>
    </w:p>
    <w:p w14:paraId="02350753"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Otro argumento interesante que puede advertirse tiene que ver con que el voto en análisis minimiza o reduce a la insignificancia el recorte de haberes producido, ya que no altera la sustancia de la relación contractual ni es confiscatoria (considerando 11º). Prosiguiendo con la </w:t>
      </w:r>
      <w:r w:rsidRPr="00186518">
        <w:rPr>
          <w:rFonts w:ascii="Verdana" w:eastAsia="Times New Roman" w:hAnsi="Verdana" w:cs="Arial"/>
          <w:sz w:val="24"/>
          <w:szCs w:val="24"/>
          <w:lang w:val="es-ES" w:eastAsia="es-ES"/>
        </w:rPr>
        <w:lastRenderedPageBreak/>
        <w:t xml:space="preserve">visión amplia, generosa y extensiva de las facultades de emergencia, el considerando 13º señala que la omisión del plazo de duración de la medida no constituye un elemento descalificativo de la validez de la norma, ante la existencia en el decreto de la facultad del PE de dejar sin efecto parcial o totalmente las medidas de emergencia cuando las causas que le dieron origen hubieran cesado. </w:t>
      </w:r>
    </w:p>
    <w:p w14:paraId="47669E12"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Conforme los magistrados, esta previsión, si bien discrecional, permitiría satisfacer el requisito de temporalidad de las medidas de emergencia. Por el contrario, la interpretación de las disposiciones del artículo 14 bis CN es restrictiva en este voto. Podemos señalar como ejemplo de ello a los considerandos 14 y 15. En los mismos se alude a la estabilidad del empleado público como un derecho “no absoluto”, que implique colocar a sus beneficiarios por encima del interés general, y que la intangibilidad del sueldo del empleado público no está asegurada por ninguna disposición constitucional, descartándose la existencia de un derecho adquirido a mantener un nivel remunerativo futuro sin variantes. </w:t>
      </w:r>
    </w:p>
    <w:p w14:paraId="46CAE4BE"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Conforme estos criterios, se resuelve hacer lugar al recurso extraordinario deducido y se revoca el fallo impugnado. El voto mayoritario aplica una interpretación dinámica y finalista de la Constitución, acorde a lo resuelto por la normativa vigente, que en el caso termina consagrando un alcance restringido de los derechos constitucionales de la parte actora por razones de emergencia. Podemos apreciar la aplicación entonces de una interpretación constitucional dinámica relacionada con la doctrina de la emergencia.</w:t>
      </w:r>
    </w:p>
    <w:p w14:paraId="70B63373" w14:textId="4604D2B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El Dr. Carlos Fayt adhirió a la mayoría a través de un voto individual. En el mismo encontramos en el considerando 4° un ejemplo de argumento jurisprudencial comparativo, ya que se cita jurisprudencia de la Corte Suprema de los Estados Unidos y doctrina constitucional de esa nación con el objetivo de enmarcar los poderes administrativos que deben serle reconocidos al Poder Ejecutivo. Luego, en el considerando 6° el </w:t>
      </w:r>
      <w:r w:rsidRPr="00186518">
        <w:rPr>
          <w:rFonts w:ascii="Verdana" w:eastAsia="Times New Roman" w:hAnsi="Verdana" w:cs="Arial"/>
          <w:sz w:val="24"/>
          <w:szCs w:val="24"/>
          <w:lang w:val="es-ES" w:eastAsia="es-ES"/>
        </w:rPr>
        <w:lastRenderedPageBreak/>
        <w:t xml:space="preserve">magistrado apela al argumento jurisprudencial citando un fallo de la misma Corte Suprema de Justicia de la Nación (autoprecedente). Se trata del caso “Verrocchi” (Fallos: 322:1726). En dicha sentencia se remarcaba que la justicia debía en el caso de los DNU, y atento su carácter de normas de emergencia y excepcionales, debe constatar la existencia tanto de la necesidad de legislar sobre el tema en cuestión, como de la imposibilidad de hacerlo a través de la actuación del Congreso, extremos fácticos justificativos de un DNU. </w:t>
      </w:r>
    </w:p>
    <w:p w14:paraId="18E0A83C"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Podemos concluir entonces que Fayt reconoce un alcance más restringido de las facultades del Poder Ejecutivo en materia de emergencia en este caso, pero, a pesar de ello, considera que se encuentran acreditados los extremos exigidos por la Constitución Nacional en la materia y por ello decide revocar el fallo apelado y hacer lugar al recurso extraordinario interpuesto. </w:t>
      </w:r>
    </w:p>
    <w:p w14:paraId="7DA2B72C" w14:textId="41D155DC"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También coincide con la decisión mayoritaria a través de un voto individual el Dr. Augusto Belluscio, en el cual se remarca la insignificancia de la reducción salarial impuesta (considerando 6°) y la inexistencia de un derecho adquirido de los empleados públicos a mantener el nivel remunerativo sin variantes y en tod</w:t>
      </w:r>
      <w:r w:rsidR="00801EE0">
        <w:rPr>
          <w:rFonts w:ascii="Verdana" w:eastAsia="Times New Roman" w:hAnsi="Verdana" w:cs="Arial"/>
          <w:sz w:val="24"/>
          <w:szCs w:val="24"/>
          <w:lang w:val="es-ES" w:eastAsia="es-ES"/>
        </w:rPr>
        <w:t>a</w:t>
      </w:r>
      <w:r w:rsidRPr="00186518">
        <w:rPr>
          <w:rFonts w:ascii="Verdana" w:eastAsia="Times New Roman" w:hAnsi="Verdana" w:cs="Arial"/>
          <w:sz w:val="24"/>
          <w:szCs w:val="24"/>
          <w:lang w:val="es-ES" w:eastAsia="es-ES"/>
        </w:rPr>
        <w:t xml:space="preserve">s las circunstancias (considerando 8°). </w:t>
      </w:r>
    </w:p>
    <w:p w14:paraId="665A07B8" w14:textId="16D79F95"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Lo mismo hace el Dr. Antonio Boggiano. De su voto vale destacarse el considerando 3° una interpretación gramatical, cuando se realiza la siguiente distinción: “Cabe advertir que la ley 22.140 no acordaba a los funcionarios y empleados públicos el derecho a una retribución intangible, sino, meramente, el derecho a una “retribución justa” (concepto reiterado en el régimen aprobado por la ley 25.164); por lo que el Congreso de la Nación goza normalmente de la facultad de disponer la reducción de las remuneraciones de los agentes públicos siempre que lo considerase necesario o conveniente, bajo condición de respetar una razonable relación de equivalencia entre los servicios </w:t>
      </w:r>
      <w:r w:rsidRPr="00186518">
        <w:rPr>
          <w:rFonts w:ascii="Verdana" w:eastAsia="Times New Roman" w:hAnsi="Verdana" w:cs="Arial"/>
          <w:sz w:val="24"/>
          <w:szCs w:val="24"/>
          <w:lang w:val="es-ES" w:eastAsia="es-ES"/>
        </w:rPr>
        <w:lastRenderedPageBreak/>
        <w:t xml:space="preserve">prestados y el sueldo pertinente”. En virtud de estas consideraciones, y de la situación de emergencia constatada en autos y la convalidación legislativa posterior del DNU impugnado, este magistrado fundamenta su voto admitiendo el recurso extraordinario interpuesto. </w:t>
      </w:r>
    </w:p>
    <w:p w14:paraId="26E71E0C" w14:textId="6911D59E"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El Dr. Gustavo Bossert también adhirió a la decisión de la mayoría a través de un voto individual. Entre los argumentos expresados por dicho magistrado puede destacarse el finalista o teleológico, que luce en el considerando 5°. En el mismo se señala que: “Que cabe recordar que el fundamento de las leyes de emergencia es la necesidad de poner fin o remediar situaciones de gravedad que obligan a intervenir en el orden patrimonial, como una forma de hacer posible el cumplimiento de las obligaciones, a la vez de atenuar su gravitación negativa sobre el orden económico e institucional y la sociedad en su conjunto...” </w:t>
      </w:r>
    </w:p>
    <w:p w14:paraId="0B788409" w14:textId="16DA0DF4"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Dicho argumento se encuentra entrelazado con citas de precedentes jurisprudenciales de la misma Corte Suprema (autoprecedentes). Luego de afirmar que el DNU cuestionado no lesiona los derechos de propiedad e igualdad, expresa, en el considerando 10°, su rechazo a los argumentos brindados por el a quo relacionados con este último tema, a los que califica de dogmáticos </w:t>
      </w:r>
      <w:r w:rsidR="00D7771C" w:rsidRPr="00186518">
        <w:rPr>
          <w:rFonts w:ascii="Verdana" w:eastAsia="Times New Roman" w:hAnsi="Verdana" w:cs="Arial"/>
          <w:sz w:val="24"/>
          <w:szCs w:val="24"/>
          <w:lang w:val="es-ES" w:eastAsia="es-ES"/>
        </w:rPr>
        <w:t>(y</w:t>
      </w:r>
      <w:r w:rsidR="00D7771C" w:rsidRPr="00186518">
        <w:rPr>
          <w:rFonts w:ascii="Verdana" w:eastAsia="Times New Roman" w:hAnsi="Verdana" w:cs="Arial"/>
          <w:sz w:val="24"/>
          <w:szCs w:val="24"/>
          <w:lang w:val="es-ES" w:eastAsia="es-ES"/>
        </w:rPr>
        <w:t xml:space="preserve"> </w:t>
      </w:r>
      <w:r w:rsidRPr="00186518">
        <w:rPr>
          <w:rFonts w:ascii="Verdana" w:eastAsia="Times New Roman" w:hAnsi="Verdana" w:cs="Arial"/>
          <w:sz w:val="24"/>
          <w:szCs w:val="24"/>
          <w:lang w:val="es-ES" w:eastAsia="es-ES"/>
        </w:rPr>
        <w:t xml:space="preserve">por consiguiente descalificables por arbitrariedad). Por estas razones decide hacer lugar al recurso interpuesto. </w:t>
      </w:r>
    </w:p>
    <w:p w14:paraId="296E004C" w14:textId="6C3CFAF8"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De idéntica forma decide el Dr. Adolfo Vázquez. En su voto, adhiere a la mayoría y modifica solamente dos considerandos, el 15 y el 16. Puede resaltarse en el considerando 15 de su decisorio la argumentación sistemática o armónica de las normas constitucionales. En tal sentido, señala que la intangibilidad de las remuneraciones debe limitarse a lo previsto en los artículos 92, 107, 110 y 120 CN (Presidente, Ministros, Jueces e integrantes del Ministerio Público) a los efectos de no lesionar la garantía de igualdad prevista en el artículo 16 CN. </w:t>
      </w:r>
    </w:p>
    <w:p w14:paraId="7C0E31D5"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lastRenderedPageBreak/>
        <w:t xml:space="preserve">Señala el Dr. Vázquez: “Que lo contrario implicaría desconocer que dicha intangibilidad debe ser interpretada armónicamente con otras cláusulas constitucionales que no admiten ningún tipo de privilegio, al declarar vg. que el art. 16 de la Constitución Nacional que todos los habitantes son iguales ante la ley.” Consecuencia de ello se establece una interpretación restrictiva de la intangibilidad de las remuneraciones de empleados y funcionarios públicos. Se ve aplicado aquí el método sistemático. </w:t>
      </w:r>
    </w:p>
    <w:p w14:paraId="479AAA7F" w14:textId="2F4F7A6C"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El voto disidente es el del Dr. Enrique Petracchi. Destaco en el mismo el argumento normativo. En realidad</w:t>
      </w:r>
      <w:r w:rsidR="00801EE0">
        <w:rPr>
          <w:rFonts w:ascii="Verdana" w:eastAsia="Times New Roman" w:hAnsi="Verdana" w:cs="Arial"/>
          <w:sz w:val="24"/>
          <w:szCs w:val="24"/>
          <w:lang w:val="es-ES" w:eastAsia="es-ES"/>
        </w:rPr>
        <w:t>,</w:t>
      </w:r>
      <w:r w:rsidRPr="00186518">
        <w:rPr>
          <w:rFonts w:ascii="Verdana" w:eastAsia="Times New Roman" w:hAnsi="Verdana" w:cs="Arial"/>
          <w:sz w:val="24"/>
          <w:szCs w:val="24"/>
          <w:lang w:val="es-ES" w:eastAsia="es-ES"/>
        </w:rPr>
        <w:t xml:space="preserve"> tiene que ver en primer lugar con la ausencia de norma reglamentaria que regule el procedimiento de dictado de los DNU en el momento tanto de entrada en vig</w:t>
      </w:r>
      <w:r w:rsidR="009433EB">
        <w:rPr>
          <w:rFonts w:ascii="Verdana" w:eastAsia="Times New Roman" w:hAnsi="Verdana" w:cs="Arial"/>
          <w:sz w:val="24"/>
          <w:szCs w:val="24"/>
          <w:lang w:val="es-ES" w:eastAsia="es-ES"/>
        </w:rPr>
        <w:t>or</w:t>
      </w:r>
      <w:r w:rsidRPr="00186518">
        <w:rPr>
          <w:rFonts w:ascii="Verdana" w:eastAsia="Times New Roman" w:hAnsi="Verdana" w:cs="Arial"/>
          <w:sz w:val="24"/>
          <w:szCs w:val="24"/>
          <w:lang w:val="es-ES" w:eastAsia="es-ES"/>
        </w:rPr>
        <w:t xml:space="preserve"> de la norma como en el momento de la sentencia. Señala el magistrado en el considerando 7°: “Ahora bien: al no haberse sancionado la ley que reclama el artículo 99 inc. 3, no puede cumplirse con la denominada “subetapa legislativa” (prevista en dicho artículo), lo que determina la imposibilidad (del Poder Ejecutivo Nacional) de recurrir a esos remedios de excepción que son los decretos de necesidad y urgencia”. Esta conclusión de Petracchi reitera lo sostenido por él en el precedente “Verrocchi”, ya citado. Adiciona a este razonamiento un argumento de coherencia o armonía normativa interna del mismo artículo 99 inciso 3 CN, el que dispone como principio general hermenéutico que el Poder Ejecutivo no puede emitir disposiciones de carácter legislativo en ningún caso bajo pena de nulidad absoluta e insanable (considerando 8°), y señala que ningún DNU que incumpla el procedimiento previsto por la Constitución puede ser convalidado. </w:t>
      </w:r>
    </w:p>
    <w:p w14:paraId="138B9631" w14:textId="045C98F3"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Y dicho procedimiento no podía ser satisfecho en ausencia de la norma legislativa reglamentaria (la misma fue sancionada posteriormente, en 2006 –ley 26.122-). Utiliza el magistrado el método sistemático o </w:t>
      </w:r>
      <w:r w:rsidRPr="00186518">
        <w:rPr>
          <w:rFonts w:ascii="Verdana" w:eastAsia="Times New Roman" w:hAnsi="Verdana" w:cs="Arial"/>
          <w:sz w:val="24"/>
          <w:szCs w:val="24"/>
          <w:lang w:val="es-ES" w:eastAsia="es-ES"/>
        </w:rPr>
        <w:lastRenderedPageBreak/>
        <w:t xml:space="preserve">armónico de interpretación constitucional, </w:t>
      </w:r>
      <w:r w:rsidR="00894CDA">
        <w:rPr>
          <w:rFonts w:ascii="Verdana" w:eastAsia="Times New Roman" w:hAnsi="Verdana" w:cs="Arial"/>
          <w:sz w:val="24"/>
          <w:szCs w:val="24"/>
          <w:lang w:val="es-ES" w:eastAsia="es-ES"/>
        </w:rPr>
        <w:t xml:space="preserve">junto </w:t>
      </w:r>
      <w:r w:rsidRPr="00186518">
        <w:rPr>
          <w:rFonts w:ascii="Verdana" w:eastAsia="Times New Roman" w:hAnsi="Verdana" w:cs="Arial"/>
          <w:sz w:val="24"/>
          <w:szCs w:val="24"/>
          <w:lang w:val="es-ES" w:eastAsia="es-ES"/>
        </w:rPr>
        <w:t xml:space="preserve">con el gramatical, aplicado para desentrañar el sentido del artículo 99 inciso 3 CN. </w:t>
      </w:r>
    </w:p>
    <w:p w14:paraId="6D0D9749"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Por ello, la norma reglamentaria podría solamente ser considerada constitucional a partir de la sanción de la ley que la convalida –en el caso la ley de Presupuesto 24.624- careciendo anteriormente de validez. Posteriormente el magistrado expresa que no considera acreditado suficientemente el carácter confiscatorio o arbitrario de la reducción salarial impuesta a la actora, atento a que la misma es solamente del 5% (considerando 9°). </w:t>
      </w:r>
    </w:p>
    <w:p w14:paraId="3D71C248" w14:textId="79850466"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Considera asimismo que la jurisprudencia de la Corte en materia de igualdad (argumento jurisprudencial) no impide que el legislador contemple en forma distinta situaciones diferentes mientras no haga distinciones arbitrarias –considerando 11-, lo que lo lleva a concluir que en el caso no se encuentra lesionada la igualdad constitucional. Finalmente, y, teniendo en cuenta la convalidación legislativa posterior del DNU a través de la ley de Prepuesto 24.624, considera válida la reducción salarial impugnada a partir de la sanción de dicha ley, en 1995, y hasta la derogación de la medida en 1998. Vale decir que revoca parcialmente la sentencia apelada. </w:t>
      </w:r>
    </w:p>
    <w:p w14:paraId="50371A40" w14:textId="7A44E6D9"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Como vemos, en esta causa los jueces utilizan numerosos </w:t>
      </w:r>
      <w:r w:rsidR="002D634F">
        <w:rPr>
          <w:rFonts w:ascii="Verdana" w:eastAsia="Times New Roman" w:hAnsi="Verdana" w:cs="Arial"/>
          <w:sz w:val="24"/>
          <w:szCs w:val="24"/>
          <w:lang w:val="es-ES" w:eastAsia="es-ES"/>
        </w:rPr>
        <w:t>criteri</w:t>
      </w:r>
      <w:r w:rsidRPr="00186518">
        <w:rPr>
          <w:rFonts w:ascii="Verdana" w:eastAsia="Times New Roman" w:hAnsi="Verdana" w:cs="Arial"/>
          <w:sz w:val="24"/>
          <w:szCs w:val="24"/>
          <w:lang w:val="es-ES" w:eastAsia="es-ES"/>
        </w:rPr>
        <w:t xml:space="preserve">os de interpretación constitucional, como el finalista, el dinámico (vinculado principalmente en los votos que componen la mayoría que convalidan la normativa de emergencia), el sistemático y el gramatical. </w:t>
      </w:r>
      <w:r w:rsidR="00E734D6">
        <w:rPr>
          <w:rFonts w:ascii="Verdana" w:eastAsia="Times New Roman" w:hAnsi="Verdana" w:cs="Arial"/>
          <w:sz w:val="24"/>
          <w:szCs w:val="24"/>
          <w:lang w:val="es-ES" w:eastAsia="es-ES"/>
        </w:rPr>
        <w:t xml:space="preserve">La mirada del fallo es restrictiva en materia de derechos sociales. </w:t>
      </w:r>
    </w:p>
    <w:p w14:paraId="6CF6D7C6" w14:textId="77777777" w:rsidR="00186518" w:rsidRPr="00186518" w:rsidRDefault="00186518" w:rsidP="00AE689A">
      <w:pPr>
        <w:spacing w:after="0" w:line="360" w:lineRule="auto"/>
        <w:rPr>
          <w:rFonts w:ascii="Verdana" w:eastAsia="Times New Roman" w:hAnsi="Verdana" w:cs="Arial"/>
          <w:sz w:val="24"/>
          <w:szCs w:val="24"/>
          <w:lang w:val="es-ES" w:eastAsia="es-ES"/>
        </w:rPr>
      </w:pPr>
    </w:p>
    <w:p w14:paraId="67C9CE51" w14:textId="48B1DF25" w:rsidR="00186518" w:rsidRDefault="00186518" w:rsidP="00AE689A">
      <w:pPr>
        <w:spacing w:after="0" w:line="360" w:lineRule="auto"/>
        <w:rPr>
          <w:rFonts w:ascii="Verdana" w:eastAsia="Times New Roman" w:hAnsi="Verdana" w:cs="Arial"/>
          <w:b/>
          <w:bCs/>
          <w:sz w:val="24"/>
          <w:szCs w:val="24"/>
          <w:lang w:val="es-ES" w:eastAsia="es-ES"/>
        </w:rPr>
      </w:pPr>
      <w:bookmarkStart w:id="5" w:name="_Hlk44539235"/>
      <w:r w:rsidRPr="008D5E5C">
        <w:rPr>
          <w:rFonts w:ascii="Verdana" w:eastAsia="Times New Roman" w:hAnsi="Verdana" w:cs="Arial"/>
          <w:b/>
          <w:bCs/>
          <w:sz w:val="24"/>
          <w:szCs w:val="24"/>
          <w:lang w:val="es-ES" w:eastAsia="es-ES"/>
        </w:rPr>
        <w:t>Vizzoti, Carlos Alberto c/ Amsa S.A. (2004)</w:t>
      </w:r>
      <w:r w:rsidR="001F3D41">
        <w:rPr>
          <w:rFonts w:ascii="Verdana" w:eastAsia="Times New Roman" w:hAnsi="Verdana" w:cs="Arial"/>
          <w:b/>
          <w:bCs/>
          <w:sz w:val="24"/>
          <w:szCs w:val="24"/>
          <w:lang w:val="es-ES" w:eastAsia="es-ES"/>
        </w:rPr>
        <w:t>: interpretación combinada con mirada extensiva y garantista</w:t>
      </w:r>
      <w:r w:rsidRPr="008D5E5C">
        <w:rPr>
          <w:rFonts w:ascii="Verdana" w:eastAsia="Times New Roman" w:hAnsi="Verdana" w:cs="Arial"/>
          <w:b/>
          <w:bCs/>
          <w:sz w:val="24"/>
          <w:szCs w:val="24"/>
          <w:lang w:val="es-ES" w:eastAsia="es-ES"/>
        </w:rPr>
        <w:tab/>
      </w:r>
      <w:bookmarkEnd w:id="5"/>
    </w:p>
    <w:p w14:paraId="6ACA6249" w14:textId="77777777" w:rsidR="005F7082" w:rsidRPr="008D5E5C" w:rsidRDefault="005F7082" w:rsidP="00AE689A">
      <w:pPr>
        <w:spacing w:after="0" w:line="360" w:lineRule="auto"/>
        <w:rPr>
          <w:rFonts w:ascii="Verdana" w:eastAsia="Times New Roman" w:hAnsi="Verdana" w:cs="Arial"/>
          <w:b/>
          <w:bCs/>
          <w:sz w:val="24"/>
          <w:szCs w:val="24"/>
          <w:lang w:val="es-ES" w:eastAsia="es-ES"/>
        </w:rPr>
      </w:pPr>
    </w:p>
    <w:p w14:paraId="43FCDA4F" w14:textId="6E3DCF0F"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El trascendente caso “Vizzoti, Carlos Alberto c/ Amsa S.A. s/ despido”, fue dictado el 14 de septiembre de 2004 (Fallos: 327: 3677). Los </w:t>
      </w:r>
      <w:r w:rsidRPr="00186518">
        <w:rPr>
          <w:rFonts w:ascii="Verdana" w:eastAsia="Times New Roman" w:hAnsi="Verdana" w:cs="Arial"/>
          <w:sz w:val="24"/>
          <w:szCs w:val="24"/>
          <w:lang w:val="es-ES" w:eastAsia="es-ES"/>
        </w:rPr>
        <w:lastRenderedPageBreak/>
        <w:t xml:space="preserve">magistrados que suscriben la sentencia fueron Zaffaroni, Highton de Nolasco, Fayt, Petracchi, Boggiano, Belluscio y Maqueda. No hubo disidencias, lo cual refuerza la trascendencia institucional de la decisión. En el caso se discutía la constitucionalidad del tope legal a las indemnizaciones por despido incorporado por la ley 24.013 a la Ley de Contrato de Trabajo en el artículo 245. Estaba en juego el derecho constitucional a la protección contra el despido arbitrario, reconocido en el artículo 14 bis CN y el derecho de propiedad, previsto en los artículos 14 y 17 CN. </w:t>
      </w:r>
    </w:p>
    <w:p w14:paraId="564FDD38"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El fallo decidió la inconstitucionalidad del tope (no de la indemnización tarifada). Dicha disposición ya había sido cuestionada anteriormente, pero se había fallado a favor de su constitucionalidad (“Villarreal, Adolfo c/ Roemmers s/ cobro de salarios”, 1997, Fallos: 320:2665, en fallo con votación dividida)</w:t>
      </w:r>
      <w:r w:rsidRPr="00186518">
        <w:rPr>
          <w:rFonts w:ascii="Verdana" w:eastAsia="Times New Roman" w:hAnsi="Verdana" w:cs="Arial"/>
          <w:sz w:val="24"/>
          <w:szCs w:val="24"/>
          <w:vertAlign w:val="superscript"/>
          <w:lang w:val="es-ES" w:eastAsia="es-ES"/>
        </w:rPr>
        <w:footnoteReference w:id="134"/>
      </w:r>
      <w:r w:rsidRPr="00186518">
        <w:rPr>
          <w:rFonts w:ascii="Verdana" w:eastAsia="Times New Roman" w:hAnsi="Verdana" w:cs="Arial"/>
          <w:sz w:val="24"/>
          <w:szCs w:val="24"/>
          <w:lang w:val="es-ES" w:eastAsia="es-ES"/>
        </w:rPr>
        <w:t xml:space="preserve">. Entre otros argumentos, la Corte defiende el carácter de norma jurídica y la fuerza normativa de la Constitución, que a su entender le brinda sentido al control de constitucionalidad y de razonabilidad de las leyes (considerando 8). La Constitución no puede declarar “derechos huecos”, sino que ellos tienen un contenido. </w:t>
      </w:r>
    </w:p>
    <w:p w14:paraId="50E682FC" w14:textId="131A78BA"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Y ese contenido puede ser fijado por la Corte, entiendo que a través de la interpretación constitucional finalista. En el considerando 8 ya mencionado se afirma que: “Todo explica que la determinación de dicho contenido configure, precisamente uno de los objetos de estudio centrales del intérprete constitucional. Explica también que</w:t>
      </w:r>
      <w:r w:rsidR="005641A5">
        <w:rPr>
          <w:rFonts w:ascii="Verdana" w:eastAsia="Times New Roman" w:hAnsi="Verdana" w:cs="Arial"/>
          <w:sz w:val="24"/>
          <w:szCs w:val="24"/>
          <w:lang w:val="es-ES" w:eastAsia="es-ES"/>
        </w:rPr>
        <w:t>,</w:t>
      </w:r>
      <w:r w:rsidRPr="00186518">
        <w:rPr>
          <w:rFonts w:ascii="Verdana" w:eastAsia="Times New Roman" w:hAnsi="Verdana" w:cs="Arial"/>
          <w:sz w:val="24"/>
          <w:szCs w:val="24"/>
          <w:lang w:val="es-ES" w:eastAsia="es-ES"/>
        </w:rPr>
        <w:t xml:space="preserve"> al reglamentar un derecho constitucional, el llamado a hacerlo no pueda obrar con otra finalidad que no sea la de dar a aquél toda la plenitud que le reconozca la Constitución Nacional...” Aquí se define entonces el </w:t>
      </w:r>
      <w:r w:rsidRPr="00186518">
        <w:rPr>
          <w:rFonts w:ascii="Verdana" w:eastAsia="Times New Roman" w:hAnsi="Verdana" w:cs="Arial"/>
          <w:sz w:val="24"/>
          <w:szCs w:val="24"/>
          <w:lang w:val="es-ES" w:eastAsia="es-ES"/>
        </w:rPr>
        <w:lastRenderedPageBreak/>
        <w:t xml:space="preserve">sentido de la función hermenéutica de los jueces y se da como pauta interpretativa de los derechos constitucionales el criterio finalista. </w:t>
      </w:r>
    </w:p>
    <w:p w14:paraId="363BEEFD"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En el considerando 9 la Corte elabora un principio particular de interpretación del artículo 14 bis de la Constitución Nacional, que es hoy idea rectora en la hermenéutica de los derechos sociales: en la relación de trabajo, el trabajador es sujeto de preferente tutela: “Que el art. 14 bis, cabe subrayarlo, impone un particular enfoque para el control de constitucionalidad. En efecto, en la relación y contrato de trabajo se ponen en juego, en lo que atañe a intereses particulares, tanto los del trabajador como el del empleador, y ninguno de ellos debe ser descuidado por las leyes. </w:t>
      </w:r>
    </w:p>
    <w:p w14:paraId="344C39E6"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Sin embargo, lo determinante es que, desde el ángulo constitucional, el primero es sujeto de preferente tutela, tal como se sigue de los pasajes del art. 14 bis anteriormente transcriptos, así como de los restantes derechos del trabajador contenidos en esta cláusula.” Una clara construcción de un principio pretoriano en el marco de una argumentación axiológica y principialista.  Para lograrlo, la Corte acude esta vez al método de interpretación histórico y apela a la voluntad del Constituyente Reformador de 1957: “Esta preferencia, por lo demás, es la respuesta constitucional dada en 1957 a diversas situaciones y comprobaciones fácticas, entre otras, la desigualdad de las partes que regularmente supone la relación de trabajo, pero que habían arraigado en la jurisprudencia de esta Corte anterior a la vigencia del artículo 14 bis (vgr. Fallos: 181:209, 213/214)”. El método usado es de alguna manera, “doblemente histórico”, ya que enlaza la decisión del caso con la finalidad de la Reforma Constitucional de 1957 y a ésta con la tradición jurisprudencial anterior de la Corte (argumento de autoprecedente). </w:t>
      </w:r>
    </w:p>
    <w:p w14:paraId="6B560C29" w14:textId="543D5DD2"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Pero este anclaje en el pasado convive en el fallo con la interpretación sistemática y dinámica que surge del considerando 10. En el mismo se </w:t>
      </w:r>
      <w:r w:rsidRPr="00186518">
        <w:rPr>
          <w:rFonts w:ascii="Verdana" w:eastAsia="Times New Roman" w:hAnsi="Verdana" w:cs="Arial"/>
          <w:sz w:val="24"/>
          <w:szCs w:val="24"/>
          <w:lang w:val="es-ES" w:eastAsia="es-ES"/>
        </w:rPr>
        <w:lastRenderedPageBreak/>
        <w:t xml:space="preserve">remarca que: “...sostener que el trabajador es sujeto de preferente tutela constitucional no es conclusión sólo impuesta por el 14 bis, sino por el renovado ritmo universal que representa el Derecho Internacional de los Derechos Humanos, que cuenta con jerarquía constitucional a partir de la reforma constitucional de 1994 (Constitución Nacional, artículo 75 inciso 22)...” Estamos entonces frente a una interpretación dinámica de los derechos constitucionales. </w:t>
      </w:r>
    </w:p>
    <w:p w14:paraId="5F1D7867"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Y la Corte realiza a través de ellos el control de constitucionalidad y convencionalidad</w:t>
      </w:r>
      <w:r w:rsidRPr="00186518">
        <w:rPr>
          <w:rFonts w:ascii="Verdana" w:eastAsia="Times New Roman" w:hAnsi="Verdana" w:cs="Arial"/>
          <w:sz w:val="24"/>
          <w:szCs w:val="24"/>
          <w:vertAlign w:val="superscript"/>
          <w:lang w:val="es-ES" w:eastAsia="es-ES"/>
        </w:rPr>
        <w:footnoteReference w:id="135"/>
      </w:r>
      <w:r w:rsidRPr="00186518">
        <w:rPr>
          <w:rFonts w:ascii="Verdana" w:eastAsia="Times New Roman" w:hAnsi="Verdana" w:cs="Arial"/>
          <w:sz w:val="24"/>
          <w:szCs w:val="24"/>
          <w:lang w:val="es-ES" w:eastAsia="es-ES"/>
        </w:rPr>
        <w:t xml:space="preserve"> de norma cuestionada en clave garantista, reputándola incompatible con las normas supremas del Bloque de Constitucionalidad (Constitución Nacional e Instrumentos Internacionales con Jerarquía Constitucional del artículo 75 inciso 22 CN). En este caso el método utilizado es el sistemático. </w:t>
      </w:r>
    </w:p>
    <w:p w14:paraId="08A0FCD6"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También la noción de que el trabajador es “sujeto de preferente tutela constitucional” es, de alguna manera, una argumentación principialista, ya que se elabora pretorianamente un principio hermenéutico que podrá ser aplicado a futuro por el Alto Tribunal.</w:t>
      </w:r>
      <w:r w:rsidRPr="00186518">
        <w:rPr>
          <w:rFonts w:ascii="Verdana" w:eastAsia="Times New Roman" w:hAnsi="Verdana" w:cs="Arial"/>
          <w:sz w:val="24"/>
          <w:szCs w:val="24"/>
          <w:vertAlign w:val="superscript"/>
          <w:lang w:val="es-ES" w:eastAsia="es-ES"/>
        </w:rPr>
        <w:footnoteReference w:id="136"/>
      </w:r>
      <w:r w:rsidRPr="00186518">
        <w:rPr>
          <w:rFonts w:ascii="Verdana" w:eastAsia="Times New Roman" w:hAnsi="Verdana" w:cs="Arial"/>
          <w:sz w:val="24"/>
          <w:szCs w:val="24"/>
          <w:lang w:val="es-ES" w:eastAsia="es-ES"/>
        </w:rPr>
        <w:t xml:space="preserve">  </w:t>
      </w:r>
    </w:p>
    <w:p w14:paraId="2310430F" w14:textId="17CA0691"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lastRenderedPageBreak/>
        <w:t xml:space="preserve">Como podemos apreciar, en esta sentencia la Corte utiliza varios métodos de interpretación, entre los que se destacan el finalista, el histórico, el sistemático y el dinámico. Entiendo que prevalece el primer método. </w:t>
      </w:r>
      <w:r w:rsidR="006A63CE">
        <w:rPr>
          <w:rFonts w:ascii="Verdana" w:eastAsia="Times New Roman" w:hAnsi="Verdana" w:cs="Arial"/>
          <w:sz w:val="24"/>
          <w:szCs w:val="24"/>
          <w:lang w:val="es-ES" w:eastAsia="es-ES"/>
        </w:rPr>
        <w:t xml:space="preserve">La mirada del fallo es garantista y extensiva en materia de derechos sociales. </w:t>
      </w:r>
    </w:p>
    <w:p w14:paraId="41E95B75" w14:textId="77777777" w:rsidR="00186518" w:rsidRPr="00186518" w:rsidRDefault="00186518" w:rsidP="00AE689A">
      <w:pPr>
        <w:spacing w:after="0" w:line="360" w:lineRule="auto"/>
        <w:rPr>
          <w:rFonts w:ascii="Verdana" w:eastAsia="Times New Roman" w:hAnsi="Verdana" w:cs="Arial"/>
          <w:sz w:val="24"/>
          <w:szCs w:val="24"/>
          <w:lang w:val="es-ES" w:eastAsia="es-ES"/>
        </w:rPr>
      </w:pPr>
    </w:p>
    <w:p w14:paraId="63A69718" w14:textId="19C68401" w:rsidR="00186518" w:rsidRDefault="00186518" w:rsidP="00AE689A">
      <w:pPr>
        <w:spacing w:after="0" w:line="360" w:lineRule="auto"/>
        <w:rPr>
          <w:rFonts w:ascii="Verdana" w:eastAsia="Times New Roman" w:hAnsi="Verdana" w:cs="Arial"/>
          <w:b/>
          <w:bCs/>
          <w:sz w:val="24"/>
          <w:szCs w:val="24"/>
          <w:lang w:val="es-ES" w:eastAsia="es-ES"/>
        </w:rPr>
      </w:pPr>
      <w:bookmarkStart w:id="6" w:name="_Hlk44539261"/>
      <w:r w:rsidRPr="004B195E">
        <w:rPr>
          <w:rFonts w:ascii="Verdana" w:eastAsia="Times New Roman" w:hAnsi="Verdana" w:cs="Arial"/>
          <w:b/>
          <w:bCs/>
          <w:sz w:val="24"/>
          <w:szCs w:val="24"/>
          <w:lang w:val="es-ES" w:eastAsia="es-ES"/>
        </w:rPr>
        <w:t>Badaro, Adolfo Valentín s/ Anses (2006)</w:t>
      </w:r>
      <w:r w:rsidR="00500D8E">
        <w:rPr>
          <w:rFonts w:ascii="Verdana" w:eastAsia="Times New Roman" w:hAnsi="Verdana" w:cs="Arial"/>
          <w:b/>
          <w:bCs/>
          <w:sz w:val="24"/>
          <w:szCs w:val="24"/>
          <w:lang w:val="es-ES" w:eastAsia="es-ES"/>
        </w:rPr>
        <w:t>:</w:t>
      </w:r>
      <w:r w:rsidR="00C105C7">
        <w:rPr>
          <w:rFonts w:ascii="Verdana" w:eastAsia="Times New Roman" w:hAnsi="Verdana" w:cs="Arial"/>
          <w:b/>
          <w:bCs/>
          <w:sz w:val="24"/>
          <w:szCs w:val="24"/>
          <w:lang w:val="es-ES" w:eastAsia="es-ES"/>
        </w:rPr>
        <w:t xml:space="preserve"> interpretación dinámica con mirada extensiva</w:t>
      </w:r>
    </w:p>
    <w:bookmarkEnd w:id="6"/>
    <w:p w14:paraId="6FC2E7C3" w14:textId="77777777" w:rsidR="005F7082" w:rsidRPr="004B195E" w:rsidRDefault="005F7082" w:rsidP="00AE689A">
      <w:pPr>
        <w:spacing w:after="0" w:line="360" w:lineRule="auto"/>
        <w:rPr>
          <w:rFonts w:ascii="Verdana" w:eastAsia="Times New Roman" w:hAnsi="Verdana" w:cs="Arial"/>
          <w:b/>
          <w:bCs/>
          <w:sz w:val="24"/>
          <w:szCs w:val="24"/>
          <w:lang w:val="es-ES" w:eastAsia="es-ES"/>
        </w:rPr>
      </w:pPr>
    </w:p>
    <w:p w14:paraId="08FF5C9F" w14:textId="77561FFA"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El 8 de agosto de 2006 la Corte tuvo la oportunidad de pronunciarse en la causa “Badaro, Adolfo Valentín c /Anses s/ reajustes varios” (Fallos: 329:3089). El tema llegó al Alto Tribunal en virtud de sendos recursos ordinarios (conforme lo permitía en ese momento el artículo 19 de la ley 24.463). Al actor la Cámara Federal de la Seguridad Social le había ajustado su haber previsional conforme los precedentes de la Corte “Chocobar”</w:t>
      </w:r>
      <w:r w:rsidR="00436C2E">
        <w:rPr>
          <w:rFonts w:ascii="Verdana" w:eastAsia="Times New Roman" w:hAnsi="Verdana" w:cs="Arial"/>
          <w:sz w:val="24"/>
          <w:szCs w:val="24"/>
          <w:lang w:val="es-ES" w:eastAsia="es-ES"/>
        </w:rPr>
        <w:t xml:space="preserve"> </w:t>
      </w:r>
      <w:r w:rsidRPr="00186518">
        <w:rPr>
          <w:rFonts w:ascii="Verdana" w:eastAsia="Times New Roman" w:hAnsi="Verdana" w:cs="Arial"/>
          <w:sz w:val="24"/>
          <w:szCs w:val="24"/>
          <w:lang w:val="es-ES" w:eastAsia="es-ES"/>
        </w:rPr>
        <w:t xml:space="preserve">(Fallos: 319:3241) y “Heit Rupp” (Fallos: 322:2226, argumento de autoprecedente). El mismo argumentaba que dicho ajuste era ineficaz en su caso, y que no le permitía acceder a un nivel de vida adecuado, atento a que se basaba en la aplicación de la ley de convertibilidad 23.928, que al momento no se encontraba en vigencia. </w:t>
      </w:r>
    </w:p>
    <w:p w14:paraId="4790FEA0"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Amén de ello alegaba que a partir de la sanción de las leyes 25.561 y 25.565 se había iniciado un proceso de acomodamiento en los precios que lo perjudicaba. Se encontraba en juego el derecho a la movilidad provisional y el derecho de propiedad (artículos 14 bis, 14 y 17 CN). </w:t>
      </w:r>
    </w:p>
    <w:p w14:paraId="2085292D" w14:textId="258B8398"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Dentro de su argumentación, la Corte indica que el artículo 14 bis de la Constitución garantiza la movilidad de los haberes dejando librada a la prudencia legislativa la determinación del método, pero remarcando que </w:t>
      </w:r>
      <w:r w:rsidRPr="00186518">
        <w:rPr>
          <w:rFonts w:ascii="Verdana" w:eastAsia="Times New Roman" w:hAnsi="Verdana" w:cs="Arial"/>
          <w:sz w:val="24"/>
          <w:szCs w:val="24"/>
          <w:lang w:val="es-ES" w:eastAsia="es-ES"/>
        </w:rPr>
        <w:lastRenderedPageBreak/>
        <w:t>el mismo debe ser razonable y no puede desconocer el derecho de los beneficiarios a una vida decorosa (considerando 4°). Como corolario de ello, la justicia siempre tendría la posibilidad de evaluar la constitucionalidad o no de un reajuste en el marco de un caso concreto (considerando 5°). Posteriormente, analizando otros aspectos de la causa, señala que las leyes de presupuesto nacional no han previsto durante los últimos años un aumento de los haberes previsionales (considerando 7°).</w:t>
      </w:r>
    </w:p>
    <w:p w14:paraId="2F897027" w14:textId="79E8CFEC"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El Alto Tribunal atiende luego a la situación fáctica de la causa. Por ello, remarca en el considerando 9° que los cambios macroeconómicos producidos en el país a partir de 2002 han deteriorado los ingresos de los jubilados. Destaca asimismo que sí hubo recuperación para los ingresos salariales a partir del año 2003, pero que dicha recomposición no alcanzó a todos los trabajadores pasivos, sino solamente a aquellos que se perciben haberes más bajos (considerandos 10 a 12). Estimo entonces que nos encontramos ante un argumento realista o pragmático, ya que el alcance de una norma constitucional, en un caso concreto no puede de ninguna manera desentenderse de las circunstancias fácticas que la rodean. </w:t>
      </w:r>
    </w:p>
    <w:p w14:paraId="46A0429D" w14:textId="75A945D4"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Por su parte, en el considerando 13 queda expuesto con claridad el método de interpretación finalista, ya que la Corte expresa que: “…la finalidad de la garantía constitucional en juego es acompañar a las prestaciones en el transcurso del tiempo para reforzarlas a medida que decaiga su valor con relación a los salarios de actividad (Fallos: 307:3266). Se sigue de ello que la falta de corrección en una medida que guarde relación con el deterioro sufrido, como acontece en autos, configura un apartamiento del mandato del art. 14 bis de la Constitución Nacional”. Prosiguiendo con el mismo método, el Alto Tribunal remarca que la movilidad no es un mero reajuste por inflación, sino que es una prestación sustitutiva del salario con profundo contenido social, que </w:t>
      </w:r>
      <w:r w:rsidRPr="00186518">
        <w:rPr>
          <w:rFonts w:ascii="Verdana" w:eastAsia="Times New Roman" w:hAnsi="Verdana" w:cs="Arial"/>
          <w:sz w:val="24"/>
          <w:szCs w:val="24"/>
          <w:lang w:val="es-ES" w:eastAsia="es-ES"/>
        </w:rPr>
        <w:lastRenderedPageBreak/>
        <w:t xml:space="preserve">debe mantener una proporción razonable con los ingresos de los trabajadores (considerando 14). Se advierte también, ligada a la interpretación finalista, el argumento axiológico, ya que se resalta el sentido social que debe guiar el establecimiento de los haberes previsionales. </w:t>
      </w:r>
    </w:p>
    <w:p w14:paraId="0D284E97" w14:textId="737D7EF3"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Considera posteriormente que el primer obligado constitucionalmente a cumplir con la manda constitucional es el legislador (considerando 15) y que por eso no es apropiado que el Tribunal fije sin más la movilidad de los haberes, atento la trascendencia macroeconómica de dicha medida, que podría afectar directamente al gasto público (considerando 16). Nos encontramos entonces ante un argumento pragmático y prudente. La competencia de fijar los haberes previsionales es del legislador y no del juez. Esto implica un ejercicio prudente del control de constitucionalidad frente a la omisión legislativa.  </w:t>
      </w:r>
    </w:p>
    <w:p w14:paraId="5E5BAA41" w14:textId="4168AEDE"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En el siguiente considerando nos encontramos ante la método armónico o sistemático y nuevamente el finalista, ya que la Corte relaciona al artículo 14 bis con el artículo 75 incisos 19 y 23 de la Constitución, que ponen en cabeza del Congreso la promoción del desarrollo humano y el progreso económico con justicia social a través de normas legislativas, y en especial para los ancianos, dentro de otros grupos. </w:t>
      </w:r>
    </w:p>
    <w:p w14:paraId="7D9F70AD"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Y en el considerando 19 manifiesta su novedosa decisión, ya que manifiesta que, atento a las relaciones que tienen que existir dentro de los diferentes departamentos del Estado, corresponde notificar a las autoridades que tiene asignada las atribuciones para realizar las correcciones necesarias para la actualización de los haberes (Poderes Legislativo y Ejecutivo) a los fines de que se subsane esta omisión inconstitucional. </w:t>
      </w:r>
    </w:p>
    <w:p w14:paraId="68B2A0B8" w14:textId="307C37F9"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Es una interpretación dinámica del alcance del control de constitucionalidad. La Corte se sale de su rol tradicional en materia de control de constitucionalidad y promueve el diálogo entre poderes ante </w:t>
      </w:r>
      <w:r w:rsidRPr="00186518">
        <w:rPr>
          <w:rFonts w:ascii="Verdana" w:eastAsia="Times New Roman" w:hAnsi="Verdana" w:cs="Arial"/>
          <w:sz w:val="24"/>
          <w:szCs w:val="24"/>
          <w:lang w:val="es-ES" w:eastAsia="es-ES"/>
        </w:rPr>
        <w:lastRenderedPageBreak/>
        <w:t>la constatación de una omisión inconstitucional, en este caso de una parte del artículo 14 bis. Como puede advertirse a partir de la lectura de este resumen, la Corte abandonó sus criterios clásicos en materia de control de constitucionalidad y, de modo activista, pero a la vez prudente, declaró la inconstitucionalidad por omisión frente al incumplimiento del mandato constitucional previsto en el artículo 14 bis</w:t>
      </w:r>
      <w:r w:rsidR="00500D8E">
        <w:rPr>
          <w:rFonts w:ascii="Verdana" w:eastAsia="Times New Roman" w:hAnsi="Verdana" w:cs="Arial"/>
          <w:sz w:val="24"/>
          <w:szCs w:val="24"/>
          <w:lang w:val="es-ES" w:eastAsia="es-ES"/>
        </w:rPr>
        <w:t>,</w:t>
      </w:r>
      <w:r w:rsidRPr="00186518">
        <w:rPr>
          <w:rFonts w:ascii="Verdana" w:eastAsia="Times New Roman" w:hAnsi="Verdana" w:cs="Arial"/>
          <w:sz w:val="24"/>
          <w:szCs w:val="24"/>
          <w:lang w:val="es-ES" w:eastAsia="es-ES"/>
        </w:rPr>
        <w:t xml:space="preserve"> que ordena la existencia de jubilaciones y pensiones móviles. </w:t>
      </w:r>
    </w:p>
    <w:p w14:paraId="27CCA70F" w14:textId="5592114E"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Desecha de este modo la distinción ortodoxa entre normas constitucionales operativas y programáticas y establece un mecanismo interesante y novedoso: el diálogo entre poderes. Lo hace al advertir </w:t>
      </w:r>
      <w:r w:rsidR="005F7082">
        <w:rPr>
          <w:rFonts w:ascii="Verdana" w:eastAsia="Times New Roman" w:hAnsi="Verdana" w:cs="Arial"/>
          <w:sz w:val="24"/>
          <w:szCs w:val="24"/>
          <w:lang w:val="es-ES" w:eastAsia="es-ES"/>
        </w:rPr>
        <w:t xml:space="preserve">la </w:t>
      </w:r>
      <w:r w:rsidRPr="00186518">
        <w:rPr>
          <w:rFonts w:ascii="Verdana" w:eastAsia="Times New Roman" w:hAnsi="Verdana" w:cs="Arial"/>
          <w:sz w:val="24"/>
          <w:szCs w:val="24"/>
          <w:lang w:val="es-ES" w:eastAsia="es-ES"/>
        </w:rPr>
        <w:t xml:space="preserve">omisión pero no subsanarla inmediatamente, ya que </w:t>
      </w:r>
      <w:r w:rsidR="00F16550">
        <w:rPr>
          <w:rFonts w:ascii="Verdana" w:eastAsia="Times New Roman" w:hAnsi="Verdana" w:cs="Arial"/>
          <w:sz w:val="24"/>
          <w:szCs w:val="24"/>
          <w:lang w:val="es-ES" w:eastAsia="es-ES"/>
        </w:rPr>
        <w:t xml:space="preserve">entiende que </w:t>
      </w:r>
      <w:r w:rsidRPr="00186518">
        <w:rPr>
          <w:rFonts w:ascii="Verdana" w:eastAsia="Times New Roman" w:hAnsi="Verdana" w:cs="Arial"/>
          <w:sz w:val="24"/>
          <w:szCs w:val="24"/>
          <w:lang w:val="es-ES" w:eastAsia="es-ES"/>
        </w:rPr>
        <w:t>esa atribución le corresponde en principio al Poder Legislativo</w:t>
      </w:r>
      <w:r w:rsidR="00AD5049">
        <w:rPr>
          <w:rFonts w:ascii="Verdana" w:eastAsia="Times New Roman" w:hAnsi="Verdana" w:cs="Arial"/>
          <w:sz w:val="24"/>
          <w:szCs w:val="24"/>
          <w:lang w:val="es-ES" w:eastAsia="es-ES"/>
        </w:rPr>
        <w:t>. Por ello decide</w:t>
      </w:r>
      <w:r w:rsidRPr="00186518">
        <w:rPr>
          <w:rFonts w:ascii="Verdana" w:eastAsia="Times New Roman" w:hAnsi="Verdana" w:cs="Arial"/>
          <w:sz w:val="24"/>
          <w:szCs w:val="24"/>
          <w:lang w:val="es-ES" w:eastAsia="es-ES"/>
        </w:rPr>
        <w:t xml:space="preserve"> exhorta</w:t>
      </w:r>
      <w:r w:rsidR="00AD5049">
        <w:rPr>
          <w:rFonts w:ascii="Verdana" w:eastAsia="Times New Roman" w:hAnsi="Verdana" w:cs="Arial"/>
          <w:sz w:val="24"/>
          <w:szCs w:val="24"/>
          <w:lang w:val="es-ES" w:eastAsia="es-ES"/>
        </w:rPr>
        <w:t>r</w:t>
      </w:r>
      <w:r w:rsidRPr="00186518">
        <w:rPr>
          <w:rFonts w:ascii="Verdana" w:eastAsia="Times New Roman" w:hAnsi="Verdana" w:cs="Arial"/>
          <w:sz w:val="24"/>
          <w:szCs w:val="24"/>
          <w:lang w:val="es-ES" w:eastAsia="es-ES"/>
        </w:rPr>
        <w:t xml:space="preserve"> a dicho Poder a cumplir con la manda constitucional. Se advierte con este ejemplo el rol especial que en el siglo XXI y en el marco del Estado Constitucional de Derecho le cabe cumplir a todos los integrantes del Poder Judicial –y en especial a los jueces de Cortes Supremas y Tribunales Constitucionales-. Son actores relevantes en el marco de la compleja tarea de impartir justicia en la sociedad democrática contemporánea. </w:t>
      </w:r>
    </w:p>
    <w:p w14:paraId="7131B9B8" w14:textId="5A09DD56"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Adviértase que en el caso la Corte ejerció un rol activo, satisfizo una necesidad social importante, y lo hizo sin salirse del marco de sus competencias y atribuciones, en el marco de una interpretación finalista, sistemática y dinámica del papel que debe jugar el Tribunal. </w:t>
      </w:r>
      <w:r w:rsidR="00500D8E">
        <w:rPr>
          <w:rFonts w:ascii="Verdana" w:eastAsia="Times New Roman" w:hAnsi="Verdana" w:cs="Arial"/>
          <w:sz w:val="24"/>
          <w:szCs w:val="24"/>
          <w:lang w:val="es-ES" w:eastAsia="es-ES"/>
        </w:rPr>
        <w:t>En definitiva</w:t>
      </w:r>
      <w:r w:rsidR="00844D5B">
        <w:rPr>
          <w:rFonts w:ascii="Verdana" w:eastAsia="Times New Roman" w:hAnsi="Verdana" w:cs="Arial"/>
          <w:sz w:val="24"/>
          <w:szCs w:val="24"/>
          <w:lang w:val="es-ES" w:eastAsia="es-ES"/>
        </w:rPr>
        <w:t>,</w:t>
      </w:r>
      <w:r w:rsidR="00500D8E">
        <w:rPr>
          <w:rFonts w:ascii="Verdana" w:eastAsia="Times New Roman" w:hAnsi="Verdana" w:cs="Arial"/>
          <w:sz w:val="24"/>
          <w:szCs w:val="24"/>
          <w:lang w:val="es-ES" w:eastAsia="es-ES"/>
        </w:rPr>
        <w:t xml:space="preserve"> el fallo es un ejemplo de enfoque extensivo en materia de derechos sociales</w:t>
      </w:r>
      <w:r w:rsidR="009B5D3E">
        <w:rPr>
          <w:rFonts w:ascii="Verdana" w:eastAsia="Times New Roman" w:hAnsi="Verdana" w:cs="Arial"/>
          <w:sz w:val="24"/>
          <w:szCs w:val="24"/>
          <w:lang w:val="es-ES" w:eastAsia="es-ES"/>
        </w:rPr>
        <w:t>.</w:t>
      </w:r>
    </w:p>
    <w:p w14:paraId="1BAECECB" w14:textId="77777777" w:rsidR="00186518" w:rsidRPr="00186518" w:rsidRDefault="00186518" w:rsidP="00AE689A">
      <w:pPr>
        <w:spacing w:after="0" w:line="360" w:lineRule="auto"/>
        <w:rPr>
          <w:rFonts w:ascii="Verdana" w:eastAsia="Times New Roman" w:hAnsi="Verdana" w:cs="Arial"/>
          <w:sz w:val="24"/>
          <w:szCs w:val="24"/>
          <w:lang w:val="es-ES" w:eastAsia="es-ES"/>
        </w:rPr>
      </w:pPr>
    </w:p>
    <w:p w14:paraId="32FC2128" w14:textId="724FEABE" w:rsidR="00186518" w:rsidRDefault="00186518" w:rsidP="00AE689A">
      <w:pPr>
        <w:spacing w:after="0" w:line="360" w:lineRule="auto"/>
        <w:rPr>
          <w:rFonts w:ascii="Verdana" w:eastAsia="Times New Roman" w:hAnsi="Verdana" w:cs="Arial"/>
          <w:b/>
          <w:bCs/>
          <w:sz w:val="24"/>
          <w:szCs w:val="24"/>
          <w:lang w:val="es-ES" w:eastAsia="es-ES"/>
        </w:rPr>
      </w:pPr>
      <w:r w:rsidRPr="00F42344">
        <w:rPr>
          <w:rFonts w:ascii="Verdana" w:eastAsia="Times New Roman" w:hAnsi="Verdana" w:cs="Arial"/>
          <w:b/>
          <w:bCs/>
          <w:sz w:val="24"/>
          <w:szCs w:val="24"/>
          <w:lang w:val="es-ES" w:eastAsia="es-ES"/>
        </w:rPr>
        <w:t>Madorrán, María Cristina c/ Administración Nacional de Aduanas s/ reincorporación (2007)</w:t>
      </w:r>
      <w:r w:rsidR="00484EAE">
        <w:rPr>
          <w:rFonts w:ascii="Verdana" w:eastAsia="Times New Roman" w:hAnsi="Verdana" w:cs="Arial"/>
          <w:b/>
          <w:bCs/>
          <w:sz w:val="24"/>
          <w:szCs w:val="24"/>
          <w:lang w:val="es-ES" w:eastAsia="es-ES"/>
        </w:rPr>
        <w:t>: interpretación combinada y decisión extensiva</w:t>
      </w:r>
    </w:p>
    <w:p w14:paraId="261F3A1C" w14:textId="77777777" w:rsidR="00844D5B" w:rsidRPr="00F42344" w:rsidRDefault="00844D5B" w:rsidP="00AE689A">
      <w:pPr>
        <w:spacing w:after="0" w:line="360" w:lineRule="auto"/>
        <w:rPr>
          <w:rFonts w:ascii="Verdana" w:eastAsia="Times New Roman" w:hAnsi="Verdana" w:cs="Arial"/>
          <w:b/>
          <w:bCs/>
          <w:sz w:val="24"/>
          <w:szCs w:val="24"/>
          <w:lang w:val="es-ES" w:eastAsia="es-ES"/>
        </w:rPr>
      </w:pPr>
    </w:p>
    <w:p w14:paraId="0D90DD04" w14:textId="59657520"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lastRenderedPageBreak/>
        <w:t xml:space="preserve">El 03/05/2007 la Corte Suprema resolvió la causa: “Madorrán, María Cristina c/ Administración Nacional de Aduanas s/ reincorporación” (Fallos: 330:1989). La actora había ingresado a trabajar en abril de 1970 y desempeñó tareas en la institución hasta noviembre de 1996, cuando fue despedida por la empleadora invocando el incumplimiento de ciertos deberes. Conforme lo establecido en el convenio colectivo, establecido por el laudo 16/92, frente al despido injustificado le correspondía una indemnización en los términos de la Ley de Contrato de Trabajo. </w:t>
      </w:r>
    </w:p>
    <w:p w14:paraId="097BA1FF"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La accionante, considerándose empleada pública, y por ende con derecho a una estabilidad propia conforme lo indica la primera parte del artículo 14 bis, inició acciones judiciales. Se encontraba en juego en el caso el derecho a la estabilidad de los empleados públicos. </w:t>
      </w:r>
    </w:p>
    <w:p w14:paraId="6702684F" w14:textId="244B292A"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En Primera Instancia su petición fue rechazada. Pero la Cámara Nacional de Apelaciones del Trabajo (Sala VI) hizo lugar a su reclamo, revocando la sentencia apelada y declarando inconstitucional el convenio colectivo por violar la estabilidad del empleado público. Conforme este criterio, ordenó la reincorporación de la actora y el pago de los salarios caídos desde la fecha del distracto o, si no se hiciera efectiva la reincorporación, hasta el momento de la jubilación. Contra esta decisión la demandada interpuso recurso extraordinario federal, que fue concedido. </w:t>
      </w:r>
    </w:p>
    <w:p w14:paraId="62689323" w14:textId="1B056303"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Llegada la cuestión a la Corte Suprema, el Procurador General, Dr. Nicolás Becerra consideró el remedio federal formalmente admisible en lo referido a cuestionamiento constitucional del convenio colectivo, y aconsejó confirmar la sentencia de Cámara,</w:t>
      </w:r>
      <w:r w:rsidR="00977370">
        <w:rPr>
          <w:rFonts w:ascii="Verdana" w:eastAsia="Times New Roman" w:hAnsi="Verdana" w:cs="Arial"/>
          <w:sz w:val="24"/>
          <w:szCs w:val="24"/>
          <w:lang w:val="es-ES" w:eastAsia="es-ES"/>
        </w:rPr>
        <w:t xml:space="preserve"> </w:t>
      </w:r>
      <w:r w:rsidRPr="00186518">
        <w:rPr>
          <w:rFonts w:ascii="Verdana" w:eastAsia="Times New Roman" w:hAnsi="Verdana" w:cs="Arial"/>
          <w:sz w:val="24"/>
          <w:szCs w:val="24"/>
          <w:lang w:val="es-ES" w:eastAsia="es-ES"/>
        </w:rPr>
        <w:t xml:space="preserve">compartiendo los argumentos esgrimidos en esa instancia. </w:t>
      </w:r>
    </w:p>
    <w:p w14:paraId="60E189E4" w14:textId="38B42D73"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El Máximo Tribunal tomó una decisión unificada en lo resolutivo</w:t>
      </w:r>
      <w:r w:rsidR="00977370">
        <w:rPr>
          <w:rFonts w:ascii="Verdana" w:eastAsia="Times New Roman" w:hAnsi="Verdana" w:cs="Arial"/>
          <w:sz w:val="24"/>
          <w:szCs w:val="24"/>
          <w:lang w:val="es-ES" w:eastAsia="es-ES"/>
        </w:rPr>
        <w:t>,</w:t>
      </w:r>
      <w:r w:rsidRPr="00186518">
        <w:rPr>
          <w:rFonts w:ascii="Verdana" w:eastAsia="Times New Roman" w:hAnsi="Verdana" w:cs="Arial"/>
          <w:sz w:val="24"/>
          <w:szCs w:val="24"/>
          <w:lang w:val="es-ES" w:eastAsia="es-ES"/>
        </w:rPr>
        <w:t xml:space="preserve"> pero con diferente fundamentación. El voto mayoritario de la Corte, suscripto por los Dres. Lorenzetti, Fayt, y Petracchi señaló, en el considerando 3°, </w:t>
      </w:r>
      <w:r w:rsidRPr="00186518">
        <w:rPr>
          <w:rFonts w:ascii="Verdana" w:eastAsia="Times New Roman" w:hAnsi="Verdana" w:cs="Arial"/>
          <w:sz w:val="24"/>
          <w:szCs w:val="24"/>
          <w:lang w:val="es-ES" w:eastAsia="es-ES"/>
        </w:rPr>
        <w:lastRenderedPageBreak/>
        <w:t xml:space="preserve">que el único tema a dilucidar era si el régimen dispuesto por el convenio colectivo impugnado era o no compatible con la estabilidad del empleado público dispuesta en el artículo 14 bis de la Constitución Nacional. Entre los diferentes métodos interpretativos utilizados podemos señalar el histórico, o de la voluntad del constituyente originario, en el considerando 4°. </w:t>
      </w:r>
    </w:p>
    <w:p w14:paraId="4773EA69"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En este sentido, se cita la opinión del Convencional Carlos A. Bravo, quien señaló en la Convención: “La estabilidad –sostuvo-salvo pocas excepciones, está tipificada en el caso de los empleados públicos, ya que puede ser considerada como un elemento natural de la relación entre ellos y la administración. Esto por la naturaleza especial del servicio y de la función pública, que es perenne y sujeta a mínimas variaciones…”. En este mismo considerando se indicó, en una interpretación histórica y finalista, cuál era el objetivo de la disposición incorporada en 1957, señalando que: “Dicha estabilidad, importa destacarlo, tendía a eliminar, a juicio del constituyente, una práctica que merecía su reprobación…Se trataba de la existencia, según lo observó esta Corte, “de un claro interés público en la proscripción de la arbitrariedad jerárquica o de la política partidaria en la organización burocrática estatal” (Fallos: 261:361, considerando 11).” Como vemos, el argumento del autoprecedente es usado también. </w:t>
      </w:r>
    </w:p>
    <w:p w14:paraId="44F49E47" w14:textId="734079ED"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El considerando 5° aparece el argumento de la coherencia del legislador, o del constituyente combinado con una reducción al absurdo (argumento apagógico): “Parece incuestionable que este último razonamiento tiene un peso sólo levantable mediante quiebre de elementales pautas de exégesis normativa, pues requerirá concluir en que la Constitución Nacional, nada menos que en la formulación de los derechos fundamentales, ha incurrido, en un mismo artículo y no obstante el empleo de palabras diferentes y extrañas a la sinonimia, en enunciados superfluos por repetitivos.” El método interpretativo es el semántico, ya </w:t>
      </w:r>
      <w:r w:rsidRPr="00186518">
        <w:rPr>
          <w:rFonts w:ascii="Verdana" w:eastAsia="Times New Roman" w:hAnsi="Verdana" w:cs="Arial"/>
          <w:sz w:val="24"/>
          <w:szCs w:val="24"/>
          <w:lang w:val="es-ES" w:eastAsia="es-ES"/>
        </w:rPr>
        <w:lastRenderedPageBreak/>
        <w:t xml:space="preserve">que se busca establecer el sentido de las palabras del texto constitucional. </w:t>
      </w:r>
    </w:p>
    <w:p w14:paraId="7768E55A"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Obviamente se refiere a “protección contra el despido arbitrario” y “estabilidad del empleado público”, derechos individuales del trabajador incluidos en la primera parte del artículo 14 bis. Esto se completa con un argumento pragmático, que busca destacar que las normas del ordenamiento jurídico no pueden ser superfluas: “Luego, un método de exégesis que conduzca a restar un efecto útil a una expresa cláusula constitucional, o a vaciarla de contenido (Fallos: 304:1524 y otros), amén de poco recomendable en lo general, resulta de imposible aplicación en la cuestión sub examine.</w:t>
      </w:r>
    </w:p>
    <w:p w14:paraId="0E33AC8D" w14:textId="4A7DA254"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Seguidamente, en el mismo considerando, se utiliza el argumento jurisprudencial –autoprecedente- al citar el principio elaborado en los caso</w:t>
      </w:r>
      <w:r w:rsidR="00977370">
        <w:rPr>
          <w:rFonts w:ascii="Verdana" w:eastAsia="Times New Roman" w:hAnsi="Verdana" w:cs="Arial"/>
          <w:sz w:val="24"/>
          <w:szCs w:val="24"/>
          <w:lang w:val="es-ES" w:eastAsia="es-ES"/>
        </w:rPr>
        <w:t>s</w:t>
      </w:r>
      <w:r w:rsidRPr="00186518">
        <w:rPr>
          <w:rFonts w:ascii="Verdana" w:eastAsia="Times New Roman" w:hAnsi="Verdana" w:cs="Arial"/>
          <w:sz w:val="24"/>
          <w:szCs w:val="24"/>
          <w:lang w:val="es-ES" w:eastAsia="es-ES"/>
        </w:rPr>
        <w:t xml:space="preserve"> “Bercaitz” y “Aquino”: “in dubio pro justitia socialis”, estima</w:t>
      </w:r>
      <w:r w:rsidR="00117B11">
        <w:rPr>
          <w:rFonts w:ascii="Verdana" w:eastAsia="Times New Roman" w:hAnsi="Verdana" w:cs="Arial"/>
          <w:sz w:val="24"/>
          <w:szCs w:val="24"/>
          <w:lang w:val="es-ES" w:eastAsia="es-ES"/>
        </w:rPr>
        <w:t>n</w:t>
      </w:r>
      <w:r w:rsidRPr="00186518">
        <w:rPr>
          <w:rFonts w:ascii="Verdana" w:eastAsia="Times New Roman" w:hAnsi="Verdana" w:cs="Arial"/>
          <w:sz w:val="24"/>
          <w:szCs w:val="24"/>
          <w:lang w:val="es-ES" w:eastAsia="es-ES"/>
        </w:rPr>
        <w:t>do</w:t>
      </w:r>
      <w:r w:rsidR="00117B11">
        <w:rPr>
          <w:rFonts w:ascii="Verdana" w:eastAsia="Times New Roman" w:hAnsi="Verdana" w:cs="Arial"/>
          <w:sz w:val="24"/>
          <w:szCs w:val="24"/>
          <w:lang w:val="es-ES" w:eastAsia="es-ES"/>
        </w:rPr>
        <w:t>,</w:t>
      </w:r>
      <w:r w:rsidRPr="00186518">
        <w:rPr>
          <w:rFonts w:ascii="Verdana" w:eastAsia="Times New Roman" w:hAnsi="Verdana" w:cs="Arial"/>
          <w:sz w:val="24"/>
          <w:szCs w:val="24"/>
          <w:lang w:val="es-ES" w:eastAsia="es-ES"/>
        </w:rPr>
        <w:t xml:space="preserve"> además, en con un argumento normativo, que la justicia social ha sido incorporada expresamente al texto de la Constitución Nacional en la Reforma Constitucional de 1994 (art. 75 inciso 23 CN). Se utiliza el método finalista de interpretación en este considerando.</w:t>
      </w:r>
    </w:p>
    <w:p w14:paraId="6F6F64A0" w14:textId="66F9EA50"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El considerando 6° vuelve sobre la voluntad histórica del constituyente: “…el propósito deliberado de los constituyentes consistió en poner a los servidores del Estado al abrigo de la discrecionalidad de las autoridades de turno y de los vaivenes de la vida política.” (método de interpretación histórica).</w:t>
      </w:r>
    </w:p>
    <w:p w14:paraId="1F74524D" w14:textId="247807A6"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Seguidamente, en el considerando 7° se esboza un argumento sistemático al indicar que lo dispuesto en el artículo 14 bis</w:t>
      </w:r>
      <w:r w:rsidR="00393E94">
        <w:rPr>
          <w:rFonts w:ascii="Verdana" w:eastAsia="Times New Roman" w:hAnsi="Verdana" w:cs="Arial"/>
          <w:sz w:val="24"/>
          <w:szCs w:val="24"/>
          <w:lang w:val="es-ES" w:eastAsia="es-ES"/>
        </w:rPr>
        <w:t>,</w:t>
      </w:r>
      <w:r w:rsidRPr="00186518">
        <w:rPr>
          <w:rFonts w:ascii="Verdana" w:eastAsia="Times New Roman" w:hAnsi="Verdana" w:cs="Arial"/>
          <w:sz w:val="24"/>
          <w:szCs w:val="24"/>
          <w:lang w:val="es-ES" w:eastAsia="es-ES"/>
        </w:rPr>
        <w:t xml:space="preserve"> en cuan</w:t>
      </w:r>
      <w:r w:rsidR="00393E94">
        <w:rPr>
          <w:rFonts w:ascii="Verdana" w:eastAsia="Times New Roman" w:hAnsi="Verdana" w:cs="Arial"/>
          <w:sz w:val="24"/>
          <w:szCs w:val="24"/>
          <w:lang w:val="es-ES" w:eastAsia="es-ES"/>
        </w:rPr>
        <w:t>t</w:t>
      </w:r>
      <w:r w:rsidRPr="00186518">
        <w:rPr>
          <w:rFonts w:ascii="Verdana" w:eastAsia="Times New Roman" w:hAnsi="Verdana" w:cs="Arial"/>
          <w:sz w:val="24"/>
          <w:szCs w:val="24"/>
          <w:lang w:val="es-ES" w:eastAsia="es-ES"/>
        </w:rPr>
        <w:t xml:space="preserve">o a </w:t>
      </w:r>
      <w:r w:rsidR="001D30A5">
        <w:rPr>
          <w:rFonts w:ascii="Verdana" w:eastAsia="Times New Roman" w:hAnsi="Verdana" w:cs="Arial"/>
          <w:sz w:val="24"/>
          <w:szCs w:val="24"/>
          <w:lang w:val="es-ES" w:eastAsia="es-ES"/>
        </w:rPr>
        <w:t xml:space="preserve">que </w:t>
      </w:r>
      <w:r w:rsidRPr="00186518">
        <w:rPr>
          <w:rFonts w:ascii="Verdana" w:eastAsia="Times New Roman" w:hAnsi="Verdana" w:cs="Arial"/>
          <w:sz w:val="24"/>
          <w:szCs w:val="24"/>
          <w:lang w:val="es-ES" w:eastAsia="es-ES"/>
        </w:rPr>
        <w:t>la estabilidad del empleado público es compatible con el principio de igualdad ante la ley previsto en el artículo 16 CN.</w:t>
      </w:r>
    </w:p>
    <w:p w14:paraId="4C861755" w14:textId="2BCA222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El extenso considerando 8° agrega el argumento sistemático y comparado relacionado con las Tratados Internacionales sobre Derechos Humanos que han adquirido jerarquía constitucional a partir de la </w:t>
      </w:r>
      <w:r w:rsidRPr="00186518">
        <w:rPr>
          <w:rFonts w:ascii="Verdana" w:eastAsia="Times New Roman" w:hAnsi="Verdana" w:cs="Arial"/>
          <w:sz w:val="24"/>
          <w:szCs w:val="24"/>
          <w:lang w:val="es-ES" w:eastAsia="es-ES"/>
        </w:rPr>
        <w:lastRenderedPageBreak/>
        <w:t xml:space="preserve">Reforma Constitucional de 1994 y sus disposiciones aplicables al caso. Entre otras normas, y citando los precedentes “Vizzoti”, “Aquino” y “Milone”, resalta los artículos 6 del PIDESC, 23.1 de la DUDH entre otros. En este sentido, el voto mayoritario de la Corte estima como principios de derechos humanos aplicables al caso el de progresividad en el cumplimiento de derechos y el principio pro homine. </w:t>
      </w:r>
    </w:p>
    <w:p w14:paraId="4F39FD08"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Me parece importante destacar que también se aplican al caso los criterios internacionales del derecho a una carrera laboral y de plena reparación (restitutio in integrum). Este último principio es introducido no a través de un argumento normativo y sistemático, sino a través de un argumento jurisprudencial muy relevante para la Corte, como lo son las sentencias dictadas por la Corte Interamericana de Derechos Humanos (caso “Baena, Ricardo y otros (270 trabajadores) vs. Panamá” del 02/02/2001).</w:t>
      </w:r>
    </w:p>
    <w:p w14:paraId="7EACFDFC" w14:textId="2EC5F690"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En el considerando 9° se vuelve sobre la interpretación sistemática, coherente o armónica, al señalar que el alcance dado a la estabilidad del empleado público en el fallo no interfiere con las facultades del Poder Ejecutivo en cuanto a nombramiento y remoción de funcionarios y empleados, ya que dicho Poder </w:t>
      </w:r>
      <w:r w:rsidR="001D30A5">
        <w:rPr>
          <w:rFonts w:ascii="Verdana" w:eastAsia="Times New Roman" w:hAnsi="Verdana" w:cs="Arial"/>
          <w:sz w:val="24"/>
          <w:szCs w:val="24"/>
          <w:lang w:val="es-ES" w:eastAsia="es-ES"/>
        </w:rPr>
        <w:t>no tiene</w:t>
      </w:r>
      <w:r w:rsidRPr="00186518">
        <w:rPr>
          <w:rFonts w:ascii="Verdana" w:eastAsia="Times New Roman" w:hAnsi="Verdana" w:cs="Arial"/>
          <w:sz w:val="24"/>
          <w:szCs w:val="24"/>
          <w:lang w:val="es-ES" w:eastAsia="es-ES"/>
        </w:rPr>
        <w:t xml:space="preserve"> atribuciones que pueda ejercer con prescindencia de toda legalidad. En el siguiente considerando, la Corte defiende el carácter operativo del derecho lesionado: “Es sabido que la Constitución Nacional es una norma jurídica y que, en cuanto reconoce derechos, lo hace para que estos resulten efectivos y no ilusorios, sobre todo cuando, en el sub examine, está en discusión un derecho humano, y la “estabilidad del empleado público” expresada por el artículo 14 bis es cláusula operativa…” </w:t>
      </w:r>
    </w:p>
    <w:p w14:paraId="4D98A3D5"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Relacionado con ello, blinda su conclusión con un argumento apagógico, indicando que: “De lo contrario, debería admitirse otro resultado no menos inadmisible y que, a la par, echaría por tierra el control de constitucionalidad confiado a la magistratura judicial: que la </w:t>
      </w:r>
      <w:r w:rsidRPr="00186518">
        <w:rPr>
          <w:rFonts w:ascii="Verdana" w:eastAsia="Times New Roman" w:hAnsi="Verdana" w:cs="Arial"/>
          <w:sz w:val="24"/>
          <w:szCs w:val="24"/>
          <w:lang w:val="es-ES" w:eastAsia="es-ES"/>
        </w:rPr>
        <w:lastRenderedPageBreak/>
        <w:t xml:space="preserve">Constitución Nacional enuncia derechos huecos, a ser llenados por el legislador, o que no resulta más que un promisorio conjunto de sabios consejos, cuyo seguimiento quedaría librado a la buena voluntad de este último. Todo ello explica que la determinación de dicho contenido configure precisamente, el objeto de estudio del intérprete constitucional”. </w:t>
      </w:r>
    </w:p>
    <w:p w14:paraId="73D202CF"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En función de estos argumentos desarrollados, la Corte Suprema decide confirmar en su totalidad la sentencia de Cámara, declarando inconstitucional el art. 7 del convenio colectivo 56/92 “E” según texto dispuesto por el laudo 16/92 del Ministerio de Trabajo por colisionar con el artículo 14 bis; y ordenando la reincorporación de la actora a su trabajo en la Administración Nacional de Aduanas. </w:t>
      </w:r>
    </w:p>
    <w:p w14:paraId="5AC2B6A2" w14:textId="7B90CB8C"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El voto de los Dres. Highton de Nolasco y Maqueda, si bien coincide en la decisión final, establece que, si bien en el caso el contenido del convenio colectivo es lesivo para los derechos constitucionales de la actora (considerando 9°), lo resuelto en la causa no puede aplicarse sin más a todos los empleados de la Administración Pública Nacional, atento a que debe revisarse en cada caso la normativa aplicable y la conducta de las partes durante la relación de empleo (considerando 10°). Estimo entonces que en este voto hay una interpretación más restrictiva del alcance de la pauta constitucional de estabilidad del empleado público y más amplia en favor de las potestades legislativas en la materia. </w:t>
      </w:r>
    </w:p>
    <w:p w14:paraId="7AE5535E" w14:textId="63235385"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Finalmente, el voto de la Dra. Argibay también coincide en el fondo de la cuestión</w:t>
      </w:r>
      <w:r w:rsidR="001D30A5">
        <w:rPr>
          <w:rFonts w:ascii="Verdana" w:eastAsia="Times New Roman" w:hAnsi="Verdana" w:cs="Arial"/>
          <w:sz w:val="24"/>
          <w:szCs w:val="24"/>
          <w:lang w:val="es-ES" w:eastAsia="es-ES"/>
        </w:rPr>
        <w:t>,</w:t>
      </w:r>
      <w:r w:rsidRPr="00186518">
        <w:rPr>
          <w:rFonts w:ascii="Verdana" w:eastAsia="Times New Roman" w:hAnsi="Verdana" w:cs="Arial"/>
          <w:sz w:val="24"/>
          <w:szCs w:val="24"/>
          <w:lang w:val="es-ES" w:eastAsia="es-ES"/>
        </w:rPr>
        <w:t xml:space="preserve"> pero remarca que no puede desnaturalizarse la estabilidad del empleado público prevista en el artículo 14 CN y ser reemplazada por una indemnización por despido. Sí podría haber períodos de prueba y causas razonables de cesantía. Para la magistrada, esto debe ser interpretado en forma coherente y armónica con las atribuciones del Poder Ejecutivo en la materia (considerando 4° de su voto).  </w:t>
      </w:r>
    </w:p>
    <w:p w14:paraId="4ABC3A47" w14:textId="24A00760"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lastRenderedPageBreak/>
        <w:t xml:space="preserve">En el caso se han aplicado diferentes </w:t>
      </w:r>
      <w:r w:rsidR="001D30A5">
        <w:rPr>
          <w:rFonts w:ascii="Verdana" w:eastAsia="Times New Roman" w:hAnsi="Verdana" w:cs="Arial"/>
          <w:sz w:val="24"/>
          <w:szCs w:val="24"/>
          <w:lang w:val="es-ES" w:eastAsia="es-ES"/>
        </w:rPr>
        <w:t>criterios</w:t>
      </w:r>
      <w:r w:rsidRPr="00186518">
        <w:rPr>
          <w:rFonts w:ascii="Verdana" w:eastAsia="Times New Roman" w:hAnsi="Verdana" w:cs="Arial"/>
          <w:sz w:val="24"/>
          <w:szCs w:val="24"/>
          <w:lang w:val="es-ES" w:eastAsia="es-ES"/>
        </w:rPr>
        <w:t xml:space="preserve"> de interpretación, como el finalista, el semántico, el histórico y el sistemático. </w:t>
      </w:r>
      <w:r w:rsidR="001D30A5">
        <w:rPr>
          <w:rFonts w:ascii="Verdana" w:eastAsia="Times New Roman" w:hAnsi="Verdana" w:cs="Arial"/>
          <w:sz w:val="24"/>
          <w:szCs w:val="24"/>
          <w:lang w:val="es-ES" w:eastAsia="es-ES"/>
        </w:rPr>
        <w:t xml:space="preserve">El fallo tiene una mirada extensiva y garantista de los derechos sociales. </w:t>
      </w:r>
    </w:p>
    <w:p w14:paraId="32149CD2" w14:textId="77777777" w:rsidR="00186518" w:rsidRPr="00186518" w:rsidRDefault="00186518" w:rsidP="00AE689A">
      <w:pPr>
        <w:spacing w:after="0" w:line="360" w:lineRule="auto"/>
        <w:rPr>
          <w:rFonts w:ascii="Verdana" w:eastAsia="Times New Roman" w:hAnsi="Verdana" w:cs="Arial"/>
          <w:sz w:val="24"/>
          <w:szCs w:val="24"/>
          <w:lang w:val="es-ES" w:eastAsia="es-ES"/>
        </w:rPr>
      </w:pPr>
    </w:p>
    <w:p w14:paraId="707C02D1" w14:textId="1C0D130D" w:rsidR="00186518" w:rsidRDefault="00186518" w:rsidP="00AE689A">
      <w:pPr>
        <w:spacing w:after="0" w:line="360" w:lineRule="auto"/>
        <w:rPr>
          <w:rFonts w:ascii="Verdana" w:eastAsia="Times New Roman" w:hAnsi="Verdana" w:cs="Arial"/>
          <w:b/>
          <w:bCs/>
          <w:sz w:val="24"/>
          <w:szCs w:val="24"/>
          <w:lang w:val="es-ES" w:eastAsia="es-ES"/>
        </w:rPr>
      </w:pPr>
      <w:r w:rsidRPr="00F00727">
        <w:rPr>
          <w:rFonts w:ascii="Verdana" w:eastAsia="Times New Roman" w:hAnsi="Verdana" w:cs="Arial"/>
          <w:b/>
          <w:bCs/>
          <w:sz w:val="24"/>
          <w:szCs w:val="24"/>
          <w:lang w:val="es-ES" w:eastAsia="es-ES"/>
        </w:rPr>
        <w:t>Asociación de Trabajadores del Estado c/ Ministerio de Trabajo (2008)</w:t>
      </w:r>
      <w:r w:rsidR="00D60E40">
        <w:rPr>
          <w:rFonts w:ascii="Verdana" w:eastAsia="Times New Roman" w:hAnsi="Verdana" w:cs="Arial"/>
          <w:b/>
          <w:bCs/>
          <w:sz w:val="24"/>
          <w:szCs w:val="24"/>
          <w:lang w:val="es-ES" w:eastAsia="es-ES"/>
        </w:rPr>
        <w:t>: interpretación combinada</w:t>
      </w:r>
      <w:r w:rsidR="008308D3">
        <w:rPr>
          <w:rFonts w:ascii="Verdana" w:eastAsia="Times New Roman" w:hAnsi="Verdana" w:cs="Arial"/>
          <w:b/>
          <w:bCs/>
          <w:sz w:val="24"/>
          <w:szCs w:val="24"/>
          <w:lang w:val="es-ES" w:eastAsia="es-ES"/>
        </w:rPr>
        <w:t xml:space="preserve"> y carácter extensivo</w:t>
      </w:r>
    </w:p>
    <w:p w14:paraId="568F4736" w14:textId="77777777" w:rsidR="00535F48" w:rsidRPr="00F00727" w:rsidRDefault="00535F48" w:rsidP="00AE689A">
      <w:pPr>
        <w:spacing w:after="0" w:line="360" w:lineRule="auto"/>
        <w:rPr>
          <w:rFonts w:ascii="Verdana" w:eastAsia="Times New Roman" w:hAnsi="Verdana" w:cs="Arial"/>
          <w:b/>
          <w:bCs/>
          <w:sz w:val="24"/>
          <w:szCs w:val="24"/>
          <w:lang w:val="es-ES" w:eastAsia="es-ES"/>
        </w:rPr>
      </w:pPr>
    </w:p>
    <w:p w14:paraId="6084FC9E" w14:textId="3CD9E7A8"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El 11 de noviembre de 2008 la Corte tuvo la oportunidad de pronunciarse en la causa “Asociación de Trabajadores del Estado c/ Ministerio de Trabajo s/ Ley de Asociaciones Sindicales”, a través de un recurso de hecho o queja (Fallos: 331:2499). Dicha sentencia tiene una gran trascendencia ya que trata acerca de la libertad sindical y los alcances del artículo 14 bis</w:t>
      </w:r>
      <w:r w:rsidR="00DD566B">
        <w:rPr>
          <w:rFonts w:ascii="Verdana" w:eastAsia="Times New Roman" w:hAnsi="Verdana" w:cs="Arial"/>
          <w:sz w:val="24"/>
          <w:szCs w:val="24"/>
          <w:lang w:val="es-ES" w:eastAsia="es-ES"/>
        </w:rPr>
        <w:t xml:space="preserve"> </w:t>
      </w:r>
      <w:r w:rsidR="002051F9">
        <w:rPr>
          <w:rFonts w:ascii="Verdana" w:eastAsia="Times New Roman" w:hAnsi="Verdana" w:cs="Arial"/>
          <w:sz w:val="24"/>
          <w:szCs w:val="24"/>
          <w:lang w:val="es-ES" w:eastAsia="es-ES"/>
        </w:rPr>
        <w:t>en esa</w:t>
      </w:r>
      <w:r w:rsidRPr="00186518">
        <w:rPr>
          <w:rFonts w:ascii="Verdana" w:eastAsia="Times New Roman" w:hAnsi="Verdana" w:cs="Arial"/>
          <w:sz w:val="24"/>
          <w:szCs w:val="24"/>
          <w:lang w:val="es-ES" w:eastAsia="es-ES"/>
        </w:rPr>
        <w:t xml:space="preserve"> materia. </w:t>
      </w:r>
    </w:p>
    <w:p w14:paraId="68DC1A6E"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Los hechos de la causa fueron los siguientes: La Dirección Nacional de Asociaciones Sindicales hizo lugar a la impugnación solicitada por el sindicato PECIFA (Unión del Personal Civil de las Fuerzas Armadas) y declaró la invalidez de una convocatoria a elecciones de delegados efectuada por ATE (Asociación de Trabajadores del Estado) en el ámbito del Estado Mayor Conjunto y el Estado Mayor General del Ejército. </w:t>
      </w:r>
    </w:p>
    <w:p w14:paraId="5EEED06A"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El fundamento de la decisión tomada en sede administrativa era lo dispuesto en el artículo 41 inciso a) de la ley 23.551, que ordenaba que convocatoria y la presentación de candidaturas estaba solamente en manos del sindicato que tuviera la personería gremial en el ámbito que correspondiere. En el caso de autos dicha personería le correspondía a PECIFA desde 1966. Frente a esta resolución, la actora acudió a la justicia. La Cámara de Apelaciones del Trabajo confirmó lo resuelto en sede administrativa, frente a lo cual se dedujo el recurso extraordinario, que fue rechazado, lo que motivó la queja por recurso denegado. </w:t>
      </w:r>
    </w:p>
    <w:p w14:paraId="0ABE6647" w14:textId="71B14F1B"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La Corte declaró admisible dicha queja. Dentro de la fundamentación de su decisión podemos encontrar en primer lugar la utilización del método </w:t>
      </w:r>
      <w:r w:rsidRPr="00186518">
        <w:rPr>
          <w:rFonts w:ascii="Verdana" w:eastAsia="Times New Roman" w:hAnsi="Verdana" w:cs="Arial"/>
          <w:sz w:val="24"/>
          <w:szCs w:val="24"/>
          <w:lang w:val="es-ES" w:eastAsia="es-ES"/>
        </w:rPr>
        <w:lastRenderedPageBreak/>
        <w:t xml:space="preserve">sistemático, muy utilizado luego de 1994 en virtud de lo ya expresado en relación con el Bloque de Constitucionalidad y su doble fuente –interna e internacional-. En este sentido, y al abordar el tema de la libertad sindical, el Alto Tribunal le otorga fundamento no solamente como una derivación de la libertad de asociación prevista en el artículo 14 bis, que promueve el derecho a la existencia de organizaciones sindicales con carácter libre y democrático, sino también en lo dispuesto en numerosos instrumentos internacionales, con jerarquía constitucional, como la Declaración Americana de los Derechos y Deberes del Hombre (art. XXIII), la Declaración Universal de los Derechos Humanos (art. 20), el Pacto Internacional de Derechos Civiles y Políticos (art. 22.1) y el Pacto Internacional de Derechos Económicos, Sociales y Culturales (art. 8.1.a). </w:t>
      </w:r>
    </w:p>
    <w:p w14:paraId="45665742"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Queda claro entonces que para la Corte los perfiles y alcances de la libertad sindical van a quedar conformados y determinados a través del juego y la interpretación armónica y sistemática de todas las normas mencionadas (considerando 3°). </w:t>
      </w:r>
    </w:p>
    <w:p w14:paraId="022E51ED" w14:textId="3A34BE6A"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Seguidamente, se alude la relación entre la libertad sindical y los propósitos de la OIT, señalando, a través del método de interpretación finalista, que el propósito de dicha libertad para esta organización internacional es indispensable para lograr la paz y armonía universal, por lo cual la cuenta dentro de sus principios fundamentales. Amén de los principios generales, se alude específicamente al Convenio 87 de la OIT que regula la materia, y que posee rango supralegal. En el considerando 5° promueve la Corte nuevamente la interpretación armónica y sistemática, al sostener que la forma correcta de interpretar el Convenio 87 de la OIT es a la luz de lo dispuesto por el PIDESC en su citado artículo 8.3. </w:t>
      </w:r>
    </w:p>
    <w:p w14:paraId="4609A77F"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Se remarca que según este convenio internacional los trabajadores tienen el derecho de constituir las asociaciones que estimen </w:t>
      </w:r>
      <w:r w:rsidRPr="00186518">
        <w:rPr>
          <w:rFonts w:ascii="Verdana" w:eastAsia="Times New Roman" w:hAnsi="Verdana" w:cs="Arial"/>
          <w:sz w:val="24"/>
          <w:szCs w:val="24"/>
          <w:lang w:val="es-ES" w:eastAsia="es-ES"/>
        </w:rPr>
        <w:lastRenderedPageBreak/>
        <w:t xml:space="preserve">convenientes, así como la libertad de afiliarse a las mismas, con la consiguiente obligación de obedecer sus estatutos. Y que dicha norma promueve la mínima injerencia estatal en la materia, que no puede ser alterada o menoscabada por la legislación nacional o interna. </w:t>
      </w:r>
    </w:p>
    <w:p w14:paraId="7B6B8808" w14:textId="1A504DFA"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En el considerando 6° se alude al contenido que tiene sobre el particular las disposiciones del corpus iuris de derechos humanos –vale decir la jurisprudencia internacional en especial la de la Corte Interamericana de Derechos Humanos-, utilizando un argumento de autoridad y citando fallos de dicho tribunal internacional. Luego de ello, en el considerando 7° realiza la hermenéutica del 14 bis, enmarcándolo dentro del contexto del constitucionalismo social, y, aplicando los métodos histórico y finalista, se alude a los fines y propósitos de la libertad sindical, los que se consideran relacionados con el cumplimiento de su misión con los menores obstáculos posibles atento a la importancia de los sindicatos, y también a lo señalado en la Convención Constituyente de 1957 por el Convencional Becerra, quien defendió la libertad sindical en forma amplia. Es más, una de las manifestaciones de la democracia sería para la Corte la democracia sindical. </w:t>
      </w:r>
    </w:p>
    <w:p w14:paraId="674E8407" w14:textId="0963BB96"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A continuación, la Corte expresa que la noción de “sindicato más representativo” diseñada por el legislador debe interpretarse a la luz de todas las normas mencionadas, y</w:t>
      </w:r>
      <w:r w:rsidR="00B47535">
        <w:rPr>
          <w:rFonts w:ascii="Verdana" w:eastAsia="Times New Roman" w:hAnsi="Verdana" w:cs="Arial"/>
          <w:sz w:val="24"/>
          <w:szCs w:val="24"/>
          <w:lang w:val="es-ES" w:eastAsia="es-ES"/>
        </w:rPr>
        <w:t>,</w:t>
      </w:r>
      <w:r w:rsidRPr="00186518">
        <w:rPr>
          <w:rFonts w:ascii="Verdana" w:eastAsia="Times New Roman" w:hAnsi="Verdana" w:cs="Arial"/>
          <w:sz w:val="24"/>
          <w:szCs w:val="24"/>
          <w:lang w:val="es-ES" w:eastAsia="es-ES"/>
        </w:rPr>
        <w:t xml:space="preserve"> además, conforme los criterios elaborados sobre la libertad sindical en sede internacional por la OIT y sus comisiones. Vale decir, el sentido, el significado de ese término no puede dejarse en forma exclusiva a la ley, sino que debe desentrañarse “desde” la Constitución y las normas del Bloque (considerando 8°).</w:t>
      </w:r>
      <w:r w:rsidR="000E097C">
        <w:rPr>
          <w:rFonts w:ascii="Verdana" w:eastAsia="Times New Roman" w:hAnsi="Verdana" w:cs="Arial"/>
          <w:sz w:val="24"/>
          <w:szCs w:val="24"/>
          <w:lang w:val="es-ES" w:eastAsia="es-ES"/>
        </w:rPr>
        <w:t xml:space="preserve"> </w:t>
      </w:r>
      <w:proofErr w:type="gramStart"/>
      <w:r w:rsidRPr="00186518">
        <w:rPr>
          <w:rFonts w:ascii="Verdana" w:eastAsia="Times New Roman" w:hAnsi="Verdana" w:cs="Arial"/>
          <w:sz w:val="24"/>
          <w:szCs w:val="24"/>
          <w:lang w:val="es-ES" w:eastAsia="es-ES"/>
        </w:rPr>
        <w:t>Esta</w:t>
      </w:r>
      <w:proofErr w:type="gramEnd"/>
      <w:r w:rsidRPr="00186518">
        <w:rPr>
          <w:rFonts w:ascii="Verdana" w:eastAsia="Times New Roman" w:hAnsi="Verdana" w:cs="Arial"/>
          <w:sz w:val="24"/>
          <w:szCs w:val="24"/>
          <w:lang w:val="es-ES" w:eastAsia="es-ES"/>
        </w:rPr>
        <w:t xml:space="preserve"> noción la explica con claridad Germán Bidart Campos señalando que: “La interpretación “desde” la constitución desciende hacia abajo, o sea, hacia el plano infraconstitucional. Empieza valiéndose de la interpretación “de” la constitución y, una vez que se le ha efectuado, la proyecta a las normas inferiores a la constitución y la utiliza para </w:t>
      </w:r>
      <w:r w:rsidRPr="00186518">
        <w:rPr>
          <w:rFonts w:ascii="Verdana" w:eastAsia="Times New Roman" w:hAnsi="Verdana" w:cs="Arial"/>
          <w:sz w:val="24"/>
          <w:szCs w:val="24"/>
          <w:lang w:val="es-ES" w:eastAsia="es-ES"/>
        </w:rPr>
        <w:lastRenderedPageBreak/>
        <w:t>interpretar, “desde” la constitución, todo el orden jurídico derivado”</w:t>
      </w:r>
      <w:r w:rsidRPr="00186518">
        <w:rPr>
          <w:rFonts w:ascii="Verdana" w:eastAsia="Times New Roman" w:hAnsi="Verdana" w:cs="Arial"/>
          <w:sz w:val="24"/>
          <w:szCs w:val="24"/>
          <w:vertAlign w:val="superscript"/>
          <w:lang w:val="es-ES" w:eastAsia="es-ES"/>
        </w:rPr>
        <w:footnoteReference w:id="137"/>
      </w:r>
      <w:r w:rsidRPr="00186518">
        <w:rPr>
          <w:rFonts w:ascii="Verdana" w:eastAsia="Times New Roman" w:hAnsi="Verdana" w:cs="Arial"/>
          <w:sz w:val="24"/>
          <w:szCs w:val="24"/>
          <w:lang w:val="es-ES" w:eastAsia="es-ES"/>
        </w:rPr>
        <w:t xml:space="preserve">. Puede apreciarse aquí el uso del método semántico de interpretación. </w:t>
      </w:r>
    </w:p>
    <w:p w14:paraId="4A2BFAC0"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Y es en el marco de esta hermenéutica que el Alto Tribunal juzga como contraria a la libertad sindical la legislación cuestionada, por considerarla ilegítimamente restrictiva de la misma, ya que tiene como efecto indirecto limitar la libertad de los trabajadores al crear diferentes categorías de sindicatos. Por ello, en el considerando 9° señala que hay incompatibilidad entre el monopolio sindical legislativo y la libertad sindical (fundamentada en normas como la Constitución, los Tratados Internacionales con Jerarquía Constitucional, y disposiciones supralegales emanadas de la OIT). </w:t>
      </w:r>
    </w:p>
    <w:p w14:paraId="143F7B68" w14:textId="0C702F12"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Y, atento a que dicha restricción no encuentra justificación razonable, la Corte decide revocar la sentencia apelada haciendo lugar en este punto a la queja y ordenando el dictado de una nueva sentencia en función de lo resuelto. El fallo no tiene disidencias, y es firmado por los Doctores Lorenzetti, Highton de Nolasco, Fayt, Petracchi, Maqueda y Zaffaroni. En el mismo se utilizan distintos métodos de interpretación de los derechos constitucionales, como el sistemático, el finalista, el histórico y el semántico. </w:t>
      </w:r>
      <w:r w:rsidR="00535F48">
        <w:rPr>
          <w:rFonts w:ascii="Verdana" w:eastAsia="Times New Roman" w:hAnsi="Verdana" w:cs="Arial"/>
          <w:sz w:val="24"/>
          <w:szCs w:val="24"/>
          <w:lang w:val="es-ES" w:eastAsia="es-ES"/>
        </w:rPr>
        <w:t>La decisión es extensiva en materia de derechos sociales.</w:t>
      </w:r>
    </w:p>
    <w:p w14:paraId="626E0E95" w14:textId="77777777" w:rsidR="00186518" w:rsidRPr="00186518" w:rsidRDefault="00186518" w:rsidP="00AE689A">
      <w:pPr>
        <w:spacing w:after="0" w:line="360" w:lineRule="auto"/>
        <w:rPr>
          <w:rFonts w:ascii="Verdana" w:eastAsia="Times New Roman" w:hAnsi="Verdana" w:cs="Arial"/>
          <w:sz w:val="24"/>
          <w:szCs w:val="24"/>
          <w:lang w:val="es-ES" w:eastAsia="es-ES"/>
        </w:rPr>
      </w:pPr>
    </w:p>
    <w:p w14:paraId="5AB0292D" w14:textId="77777777" w:rsidR="00186518" w:rsidRPr="00186518" w:rsidRDefault="00186518" w:rsidP="00AE689A">
      <w:pPr>
        <w:spacing w:after="0" w:line="360" w:lineRule="auto"/>
        <w:rPr>
          <w:rFonts w:ascii="Verdana" w:eastAsia="Times New Roman" w:hAnsi="Verdana" w:cs="Arial"/>
          <w:sz w:val="24"/>
          <w:szCs w:val="24"/>
          <w:lang w:val="es-ES" w:eastAsia="es-ES"/>
        </w:rPr>
      </w:pPr>
      <w:bookmarkStart w:id="7" w:name="_Hlk44539516"/>
    </w:p>
    <w:p w14:paraId="05B67CCA" w14:textId="17E03B48" w:rsidR="00186518" w:rsidRDefault="00186518" w:rsidP="00AE689A">
      <w:pPr>
        <w:spacing w:after="0" w:line="360" w:lineRule="auto"/>
        <w:rPr>
          <w:rFonts w:ascii="Verdana" w:eastAsia="Times New Roman" w:hAnsi="Verdana" w:cs="Arial"/>
          <w:b/>
          <w:bCs/>
          <w:sz w:val="24"/>
          <w:szCs w:val="24"/>
          <w:lang w:val="es-ES" w:eastAsia="es-ES"/>
        </w:rPr>
      </w:pPr>
      <w:r w:rsidRPr="00DD566B">
        <w:rPr>
          <w:rFonts w:ascii="Verdana" w:eastAsia="Times New Roman" w:hAnsi="Verdana" w:cs="Arial"/>
          <w:b/>
          <w:bCs/>
          <w:sz w:val="24"/>
          <w:szCs w:val="24"/>
          <w:lang w:val="es-ES" w:eastAsia="es-ES"/>
        </w:rPr>
        <w:t>Sisnero, Mirtha Graciela y otros c/ Tadelva SRL (2014)</w:t>
      </w:r>
      <w:r w:rsidR="005049BE">
        <w:rPr>
          <w:rFonts w:ascii="Verdana" w:eastAsia="Times New Roman" w:hAnsi="Verdana" w:cs="Arial"/>
          <w:b/>
          <w:bCs/>
          <w:sz w:val="24"/>
          <w:szCs w:val="24"/>
          <w:lang w:val="es-ES" w:eastAsia="es-ES"/>
        </w:rPr>
        <w:t>: interpretación combinada con mirada extensiva</w:t>
      </w:r>
    </w:p>
    <w:bookmarkEnd w:id="7"/>
    <w:p w14:paraId="104EFE2C" w14:textId="77777777" w:rsidR="009979F7" w:rsidRPr="00DD566B" w:rsidRDefault="009979F7" w:rsidP="00AE689A">
      <w:pPr>
        <w:spacing w:after="0" w:line="360" w:lineRule="auto"/>
        <w:rPr>
          <w:rFonts w:ascii="Verdana" w:eastAsia="Times New Roman" w:hAnsi="Verdana" w:cs="Arial"/>
          <w:b/>
          <w:bCs/>
          <w:sz w:val="24"/>
          <w:szCs w:val="24"/>
          <w:lang w:val="es-ES" w:eastAsia="es-ES"/>
        </w:rPr>
      </w:pPr>
    </w:p>
    <w:p w14:paraId="44DE098B" w14:textId="7F91F6EA"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El caso “Sisnero, Mirtha Graciela y otros c/ Tadelva SRL y otros s/ amparo” fue resuelto por la Corte Suprema el 20 de mayo de 2014 (Fallos: 337:611). La cuestión llega al Alto Tribunal a través de un </w:t>
      </w:r>
      <w:r w:rsidRPr="00186518">
        <w:rPr>
          <w:rFonts w:ascii="Verdana" w:eastAsia="Times New Roman" w:hAnsi="Verdana" w:cs="Arial"/>
          <w:sz w:val="24"/>
          <w:szCs w:val="24"/>
          <w:lang w:val="es-ES" w:eastAsia="es-ES"/>
        </w:rPr>
        <w:lastRenderedPageBreak/>
        <w:t xml:space="preserve">recurso de queja o de hecho. Los hechos eran los siguientes: la actora </w:t>
      </w:r>
      <w:r w:rsidR="004C7ABB">
        <w:rPr>
          <w:rFonts w:ascii="Verdana" w:eastAsia="Times New Roman" w:hAnsi="Verdana" w:cs="Arial"/>
          <w:sz w:val="24"/>
          <w:szCs w:val="24"/>
          <w:lang w:val="es-ES" w:eastAsia="es-ES"/>
        </w:rPr>
        <w:t>junto</w:t>
      </w:r>
      <w:r w:rsidRPr="00186518">
        <w:rPr>
          <w:rFonts w:ascii="Verdana" w:eastAsia="Times New Roman" w:hAnsi="Verdana" w:cs="Arial"/>
          <w:sz w:val="24"/>
          <w:szCs w:val="24"/>
          <w:lang w:val="es-ES" w:eastAsia="es-ES"/>
        </w:rPr>
        <w:t xml:space="preserve"> con la Fundación Entre Mujeres (FEM) presentaron una acción de amparo colectivo contra una serie de empresas de transporte de la provincia de Salta. </w:t>
      </w:r>
    </w:p>
    <w:p w14:paraId="1520E584"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La demanda tenía dos aspectos, uno individual, ya que Sisnero reclamaba la violación al derecho de igualdad y no discriminación al no permitírsele trabajar como chofer de colectivo en alguna de esas empresas de transporte (con lo cual se afectaba también su derecho de trabajar). Se encontraban en juego los artículos 14, 16 y 75 inciso 23 CN, entre otros, y diversas disposiciones de los Instrumentos Internacionales sobre Derechos Humanos con Jerarquía Constitucional (art. 75 inciso 22 CN).</w:t>
      </w:r>
    </w:p>
    <w:p w14:paraId="2A11A3D0"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Y tenía también un aspecto colectivo, por el que la fundación mencionada denunciaba esta violación al derecho de igualdad y no discriminación, solicitaba se contrate como chofer a Sisnero y solicitaba el establecimiento de un cupo para mujeres que quisieran trabajar como conductoras de colectivo. </w:t>
      </w:r>
    </w:p>
    <w:p w14:paraId="01C63882"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La Cámara de Apelaciones en lo Civil de Salta hizo lugar a la demanda, pero la Corte de Justicia provincial rechazó la pretensión indicando que, si bien era notoria la existencia de discriminación de género en esta cuestión, no se había acreditado en autos la idoneidad de la actora para conducir colectivos (a pesar de que tenía el registro habilitante) y que la mera negativa de las empresas a contratarla no terminaba de probar la discriminación en el caso. </w:t>
      </w:r>
    </w:p>
    <w:p w14:paraId="2C7293D1" w14:textId="1EC89E41"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El Tribunal solamente exhortó a las empresas prestadoras del servicio </w:t>
      </w:r>
      <w:r w:rsidR="0057257E">
        <w:rPr>
          <w:rFonts w:ascii="Verdana" w:eastAsia="Times New Roman" w:hAnsi="Verdana" w:cs="Arial"/>
          <w:sz w:val="24"/>
          <w:szCs w:val="24"/>
          <w:lang w:val="es-ES" w:eastAsia="es-ES"/>
        </w:rPr>
        <w:t>par</w:t>
      </w:r>
      <w:r w:rsidRPr="00186518">
        <w:rPr>
          <w:rFonts w:ascii="Verdana" w:eastAsia="Times New Roman" w:hAnsi="Verdana" w:cs="Arial"/>
          <w:sz w:val="24"/>
          <w:szCs w:val="24"/>
          <w:lang w:val="es-ES" w:eastAsia="es-ES"/>
        </w:rPr>
        <w:t xml:space="preserve">a tener en cuenta la situación y a implementar en el futuro soluciones al problema. Presentado el recurso extraordinario federal por violación de los artículos 14, 16, 43 y 75 inciso 22 de la Constitución Nacional y por arbitrariedad de sentencia, el mismo es rechazado por la Corte provincial, lo que obliga a las actoras a concurrir a la Corte </w:t>
      </w:r>
      <w:r w:rsidRPr="00186518">
        <w:rPr>
          <w:rFonts w:ascii="Verdana" w:eastAsia="Times New Roman" w:hAnsi="Verdana" w:cs="Arial"/>
          <w:sz w:val="24"/>
          <w:szCs w:val="24"/>
          <w:lang w:val="es-ES" w:eastAsia="es-ES"/>
        </w:rPr>
        <w:lastRenderedPageBreak/>
        <w:t xml:space="preserve">Suprema de Justicia de la Nación a través de una queja por recurso denegado. </w:t>
      </w:r>
    </w:p>
    <w:p w14:paraId="429D826F"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Llegado el caso al Alto Tribunal, el mismo admitió el recurso, señalando que los principios de igualdad y no discriminación son elementos estructurales del orden jurídico constitucional argentino e internacional, con especial cita no solamente del artículo 16 de la Constitución sino también de varias normas internacionales –en ejercicio del control de convencionalidad-, en especial el artículo 11 de la Convención para la Eliminación de Toda Forma de Discriminación contra la Mujer, que posee jerarquía constitucional conforme el artículo 75 inciso 22 de la Constitución, y el Convenio 111 de la OIT, de rango supralegal (considerando 2°). </w:t>
      </w:r>
    </w:p>
    <w:p w14:paraId="2FA1AE13" w14:textId="3CE3E93F"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La Corte utiliza aquí el</w:t>
      </w:r>
      <w:r w:rsidR="004C7ABB">
        <w:rPr>
          <w:rFonts w:ascii="Verdana" w:eastAsia="Times New Roman" w:hAnsi="Verdana" w:cs="Arial"/>
          <w:sz w:val="24"/>
          <w:szCs w:val="24"/>
          <w:lang w:val="es-ES" w:eastAsia="es-ES"/>
        </w:rPr>
        <w:t xml:space="preserve"> criterio</w:t>
      </w:r>
      <w:r w:rsidRPr="00186518">
        <w:rPr>
          <w:rFonts w:ascii="Verdana" w:eastAsia="Times New Roman" w:hAnsi="Verdana" w:cs="Arial"/>
          <w:sz w:val="24"/>
          <w:szCs w:val="24"/>
          <w:lang w:val="es-ES" w:eastAsia="es-ES"/>
        </w:rPr>
        <w:t xml:space="preserve"> sistemático, que conduce a no interpretar los derechos o artículos de la Constitución en forma aislada, sino en el marco de otras normas relacionadas. Desde luego que este criterio es muy marcado luego de la Reforma Constitucional de 1994, atento a la jerarquía constitucional de los Instrumentos Internacionales sobre Derechos Humanos previstos en el artículo 75 inciso 22 de la Constitución y la conformación del denominado Bloque de Constitucionalidad.</w:t>
      </w:r>
    </w:p>
    <w:p w14:paraId="689FC8E5"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Posteriormente, en el considerando 3°, la Corte apela a la interpretación finalista, señalando que “Nada hay en la letra ni en el espíritu de la Constitución que permita afirmar que la protección de los llamados derechos humanos –porque son los derechos esenciales del hombre- está circunscripta a los ataques que provengan solo de la autoridad”. En realidad, la cita que luce en este considerando remite a los dichos de la misma Corte en el caso “Kot, Samuel (Fallos, 241:291), en el cual por vía pretoriana se dio nacimiento al amparo contra actos de particulares (argumento de autoprecedente). Luego de ello, el Alto Tribunal identifica </w:t>
      </w:r>
      <w:r w:rsidRPr="00186518">
        <w:rPr>
          <w:rFonts w:ascii="Verdana" w:eastAsia="Times New Roman" w:hAnsi="Verdana" w:cs="Arial"/>
          <w:sz w:val="24"/>
          <w:szCs w:val="24"/>
          <w:lang w:val="es-ES" w:eastAsia="es-ES"/>
        </w:rPr>
        <w:lastRenderedPageBreak/>
        <w:t xml:space="preserve">como derecho afectado como el derecho constitucional de elegir libremente empleo (considerando 4°). </w:t>
      </w:r>
    </w:p>
    <w:p w14:paraId="54EAE9A8" w14:textId="196DCEFF"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En el siguiente considerando, se descalifica la sentencia en revisión por medio nuevamente de la interpretación finalista, ya que la Corte indica que</w:t>
      </w:r>
      <w:r w:rsidR="004C7ABB">
        <w:rPr>
          <w:rFonts w:ascii="Verdana" w:eastAsia="Times New Roman" w:hAnsi="Verdana" w:cs="Arial"/>
          <w:sz w:val="24"/>
          <w:szCs w:val="24"/>
          <w:lang w:val="es-ES" w:eastAsia="es-ES"/>
        </w:rPr>
        <w:t>,</w:t>
      </w:r>
      <w:r w:rsidRPr="00186518">
        <w:rPr>
          <w:rFonts w:ascii="Verdana" w:eastAsia="Times New Roman" w:hAnsi="Verdana" w:cs="Arial"/>
          <w:sz w:val="24"/>
          <w:szCs w:val="24"/>
          <w:lang w:val="es-ES" w:eastAsia="es-ES"/>
        </w:rPr>
        <w:t xml:space="preserve"> en el caso, atento a la complejidad de probar la discriminación, había que acudir a la noción de cargas probatorias dinámicas e invertir la carga de </w:t>
      </w:r>
      <w:r w:rsidR="00F735DF">
        <w:rPr>
          <w:rFonts w:ascii="Verdana" w:eastAsia="Times New Roman" w:hAnsi="Verdana" w:cs="Arial"/>
          <w:sz w:val="24"/>
          <w:szCs w:val="24"/>
          <w:lang w:val="es-ES" w:eastAsia="es-ES"/>
        </w:rPr>
        <w:t>esta</w:t>
      </w:r>
      <w:r w:rsidRPr="00186518">
        <w:rPr>
          <w:rFonts w:ascii="Verdana" w:eastAsia="Times New Roman" w:hAnsi="Verdana" w:cs="Arial"/>
          <w:sz w:val="24"/>
          <w:szCs w:val="24"/>
          <w:lang w:val="es-ES" w:eastAsia="es-ES"/>
        </w:rPr>
        <w:t xml:space="preserve">, poniendo esta obligación en cabeza de las empresas demandadas, ya que están en mejores condiciones de probar los hechos controvertidos en la causa. Entiendo que el mismo instituto de las cargas probatorias es finalista, ya que busca la realización del valor justicia como fin y la prosecución de la verdad objetiva del proceso dejando de lado formalidades procesales. </w:t>
      </w:r>
    </w:p>
    <w:p w14:paraId="5312C485"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Luego de ello, en el considerando 6° descalifica por irrazonable (y por ende arbitraria) la apreciación de la prueba efectuada por el a quo, estimando finalmente en el considerando siguiente que corresponde revocar la sentencia apelada, ordenando al tribunal superior de la causa que dicte nueva sentencia conforme el criterio establecido por la Corte. </w:t>
      </w:r>
    </w:p>
    <w:p w14:paraId="120A1123" w14:textId="2BB40D03"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Vemos finalmente que en este fallo el Máximo Tribunal ha utilizado principalmente los métodos de interpretación sistemático y finalista para resolver la cuestión.</w:t>
      </w:r>
      <w:r w:rsidR="004C7ABB">
        <w:rPr>
          <w:rFonts w:ascii="Verdana" w:eastAsia="Times New Roman" w:hAnsi="Verdana" w:cs="Arial"/>
          <w:sz w:val="24"/>
          <w:szCs w:val="24"/>
          <w:lang w:val="es-ES" w:eastAsia="es-ES"/>
        </w:rPr>
        <w:t xml:space="preserve"> La mirada es indudablemente extensiva en materia de derechos sociales. </w:t>
      </w:r>
    </w:p>
    <w:p w14:paraId="0936D29F" w14:textId="77777777" w:rsidR="00186518" w:rsidRPr="00186518" w:rsidRDefault="00186518" w:rsidP="00AE689A">
      <w:pPr>
        <w:spacing w:after="0" w:line="360" w:lineRule="auto"/>
        <w:rPr>
          <w:rFonts w:ascii="Verdana" w:eastAsia="Times New Roman" w:hAnsi="Verdana" w:cs="Arial"/>
          <w:sz w:val="24"/>
          <w:szCs w:val="24"/>
          <w:lang w:val="es-ES" w:eastAsia="es-ES"/>
        </w:rPr>
      </w:pPr>
    </w:p>
    <w:p w14:paraId="173AE505" w14:textId="7B31D05C" w:rsidR="00186518" w:rsidRDefault="00186518" w:rsidP="00AE689A">
      <w:pPr>
        <w:spacing w:after="0" w:line="360" w:lineRule="auto"/>
        <w:rPr>
          <w:rFonts w:ascii="Verdana" w:eastAsia="Times New Roman" w:hAnsi="Verdana" w:cs="Arial"/>
          <w:b/>
          <w:bCs/>
          <w:sz w:val="24"/>
          <w:szCs w:val="24"/>
          <w:lang w:val="es-ES" w:eastAsia="es-ES"/>
        </w:rPr>
      </w:pPr>
      <w:r w:rsidRPr="00266AF5">
        <w:rPr>
          <w:rFonts w:ascii="Verdana" w:eastAsia="Times New Roman" w:hAnsi="Verdana" w:cs="Arial"/>
          <w:b/>
          <w:bCs/>
          <w:sz w:val="24"/>
          <w:szCs w:val="24"/>
          <w:lang w:val="es-ES" w:eastAsia="es-ES"/>
        </w:rPr>
        <w:t>Orellano, Francisco Daniel c/ Correo Oficial de la República Argentina (2016)</w:t>
      </w:r>
      <w:r w:rsidR="002C1CF4">
        <w:rPr>
          <w:rFonts w:ascii="Verdana" w:eastAsia="Times New Roman" w:hAnsi="Verdana" w:cs="Arial"/>
          <w:b/>
          <w:bCs/>
          <w:sz w:val="24"/>
          <w:szCs w:val="24"/>
          <w:lang w:val="es-ES" w:eastAsia="es-ES"/>
        </w:rPr>
        <w:t>: la dificultad de hallar la voluntad del constituyente</w:t>
      </w:r>
    </w:p>
    <w:p w14:paraId="4113611E" w14:textId="77777777" w:rsidR="006078E0" w:rsidRPr="00266AF5" w:rsidRDefault="006078E0" w:rsidP="00AE689A">
      <w:pPr>
        <w:spacing w:after="0" w:line="360" w:lineRule="auto"/>
        <w:rPr>
          <w:rFonts w:ascii="Verdana" w:eastAsia="Times New Roman" w:hAnsi="Verdana" w:cs="Arial"/>
          <w:b/>
          <w:bCs/>
          <w:sz w:val="24"/>
          <w:szCs w:val="24"/>
          <w:lang w:val="es-ES" w:eastAsia="es-ES"/>
        </w:rPr>
      </w:pPr>
    </w:p>
    <w:p w14:paraId="4970C0B1" w14:textId="2D52F542"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Como ya se ha mencionado, uno de los </w:t>
      </w:r>
      <w:r w:rsidR="00757548">
        <w:rPr>
          <w:rFonts w:ascii="Verdana" w:eastAsia="Times New Roman" w:hAnsi="Verdana" w:cs="Arial"/>
          <w:sz w:val="24"/>
          <w:szCs w:val="24"/>
          <w:lang w:val="es-ES" w:eastAsia="es-ES"/>
        </w:rPr>
        <w:t>criteri</w:t>
      </w:r>
      <w:r w:rsidRPr="00186518">
        <w:rPr>
          <w:rFonts w:ascii="Verdana" w:eastAsia="Times New Roman" w:hAnsi="Verdana" w:cs="Arial"/>
          <w:sz w:val="24"/>
          <w:szCs w:val="24"/>
          <w:lang w:val="es-ES" w:eastAsia="es-ES"/>
        </w:rPr>
        <w:t xml:space="preserve">os de interpretación de la norma constitucional es el histórico, que trata de indagar en diversas fuentes y manifestaciones cuál fue la intención del Constituyente o </w:t>
      </w:r>
      <w:r w:rsidRPr="00186518">
        <w:rPr>
          <w:rFonts w:ascii="Verdana" w:eastAsia="Times New Roman" w:hAnsi="Verdana" w:cs="Arial"/>
          <w:sz w:val="24"/>
          <w:szCs w:val="24"/>
          <w:lang w:val="es-ES" w:eastAsia="es-ES"/>
        </w:rPr>
        <w:lastRenderedPageBreak/>
        <w:t>legislador que la sancionó</w:t>
      </w:r>
      <w:r w:rsidR="00757548">
        <w:rPr>
          <w:rFonts w:ascii="Verdana" w:eastAsia="Times New Roman" w:hAnsi="Verdana" w:cs="Arial"/>
          <w:sz w:val="24"/>
          <w:szCs w:val="24"/>
          <w:lang w:val="es-ES" w:eastAsia="es-ES"/>
        </w:rPr>
        <w:t xml:space="preserve"> para que el juez utilice como guía dicha intención. </w:t>
      </w:r>
      <w:r w:rsidRPr="00186518">
        <w:rPr>
          <w:rFonts w:ascii="Verdana" w:eastAsia="Times New Roman" w:hAnsi="Verdana" w:cs="Arial"/>
          <w:sz w:val="24"/>
          <w:szCs w:val="24"/>
          <w:lang w:val="es-ES" w:eastAsia="es-ES"/>
        </w:rPr>
        <w:t xml:space="preserve"> </w:t>
      </w:r>
    </w:p>
    <w:p w14:paraId="059D11E8"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Un ejemplo claro de las dificultades de dicho método lo encontramos en el caso “Orellano, Francisco Daniel c/ Correo Oficial de la República Argentina S.A. s/ juicio sumarísimo”, del 7 de junio de 2016 (Fallos: 339:760). El caso llegó a la Corte Suprema a través de un recurso de queja, usualmente denominado también como recurso de hecho. </w:t>
      </w:r>
    </w:p>
    <w:p w14:paraId="75C4AF52"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Los hechos que motivaban la causa eran los siguientes: la empresa postal demandada había despedido al actor por haber participado en la convocatoria y realización de medidas de fuerza que estimaba ilegítimas, ya que no contaban con el aval de los sindicatos que representaban al personal. Dicha medida había ocasionado retraso en las tareas de la empresa. Por su parte el actor cuestionó el despido con fundamento en la ley 23.592 por considerarlo discriminatorio. Se encontraban en juego el derecho de protección contra el despido arbitrario, los derechos de los representantes gremiales, consagrados ambos en el artículo 14 bis CN, y también el derecho a no sufrir discriminaciones arbitrarias, estipulado en el artículo 75 inciso 23 CN.</w:t>
      </w:r>
    </w:p>
    <w:p w14:paraId="1586C5EB"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Tanto en primera como en segunda instancia los fallos fueron favorables al actor. Se ordenó su reincorporación y una indemnización. Para decidir de este modo, la Cámara se fundó en el trato discriminatorio recibido por el trabajador, en los derechos emergentes del artículo 14 bis y en la jurisprudencia de la Corte Suprema de Justicia de la Nación (casos ATE y Rossi). </w:t>
      </w:r>
    </w:p>
    <w:p w14:paraId="6E6375DA" w14:textId="1BFCFBFA"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En tal sentido, se identifica a la palabra “gremio”, que forma parte de la segunda parte del artículo 14 bis, como “grupo de trabajadores de la misma actividad u oficio unidos por una causa”. Y por consiguiente la huelga es un derecho reconocido a los gremios, y no se puede restringir su ejercicio a la decisión de sindicatos orgánicos. Vale decir entonces que</w:t>
      </w:r>
      <w:r w:rsidR="002C1CF4">
        <w:rPr>
          <w:rFonts w:ascii="Verdana" w:eastAsia="Times New Roman" w:hAnsi="Verdana" w:cs="Arial"/>
          <w:sz w:val="24"/>
          <w:szCs w:val="24"/>
          <w:lang w:val="es-ES" w:eastAsia="es-ES"/>
        </w:rPr>
        <w:t>,</w:t>
      </w:r>
      <w:r w:rsidRPr="00186518">
        <w:rPr>
          <w:rFonts w:ascii="Verdana" w:eastAsia="Times New Roman" w:hAnsi="Verdana" w:cs="Arial"/>
          <w:sz w:val="24"/>
          <w:szCs w:val="24"/>
          <w:lang w:val="es-ES" w:eastAsia="es-ES"/>
        </w:rPr>
        <w:t xml:space="preserve"> para esta interpretación, “gremio” no es igual a “sindicato </w:t>
      </w:r>
      <w:r w:rsidRPr="00186518">
        <w:rPr>
          <w:rFonts w:ascii="Verdana" w:eastAsia="Times New Roman" w:hAnsi="Verdana" w:cs="Arial"/>
          <w:sz w:val="24"/>
          <w:szCs w:val="24"/>
          <w:lang w:val="es-ES" w:eastAsia="es-ES"/>
        </w:rPr>
        <w:lastRenderedPageBreak/>
        <w:t xml:space="preserve">orgánico”. Se realiza entonces una interpretación semántica del concepto. </w:t>
      </w:r>
    </w:p>
    <w:p w14:paraId="78AD0FD9" w14:textId="648D4E2D"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El fallo de la Corte no tuvo disidencias y fue firmado por Lorenzetti, Highton de Nolasco y Maqueda. Luego de admitir el recurso, el Alto Tribunal hace en primer término una serie de precisiones de carácter gramatical acerca del concepto de huelga. De tal razonamiento deduce que la huelga tiene dos facetas. Una individual, que consiste en la libertad de sumarse o no a una medida de fuerza que tiene el trabajador, y otra colectiva, que es el poder de declarar o no la huelga (considerando 7°). A partir del siguiente considerando continúa con la interpretación semántica, ya que pretende desentrañar el significado de los términos del artículo, y sistemática a la vez, atento a que intenta dar una respuesta a partir del encuadre de una palabra en el marco de un artículo. La palabra es la palabra “gremio”. </w:t>
      </w:r>
    </w:p>
    <w:p w14:paraId="2245E827"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Destaca la Corte que el derecho de huelga ingresó en nuestro ordenamiento jurídico en la Reforma Constitucional de 1957, que consagró una serie de derechos de orden laboral y social que habían sido universalmente reconocidos durante la primera mitad del siglo XX. Describe seguidamente el diseño normativo del artículo 14 bis y su división en tres partes: derechos del trabajador individual, derechos de los gremios y derechos o beneficios de la seguridad social. </w:t>
      </w:r>
    </w:p>
    <w:p w14:paraId="6EE7DE6E"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Pasa luego la Corte Suprema a describir el encuadramiento del derecho de huelga en el artículo, dentro del segundo bloque. En función de esa inclusión, señala, al contrario que la Cámara, que la noción de “gremio” debe coincidir con la de “asociación sindical” y no con la de “grupo de trabajadores”. Recordemos entonces que esta interpretación semántica permite descubrir o desentrañar el significado de un término utilizando herramientas que van más allá de una definición lexicográfica.</w:t>
      </w:r>
    </w:p>
    <w:p w14:paraId="504D1FFD" w14:textId="2228224A"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Luego de estos argumentos de carácter semántico, pasa la Corte Suprema a utilizar el método histórico de interpretación constitucional, </w:t>
      </w:r>
      <w:r w:rsidRPr="00186518">
        <w:rPr>
          <w:rFonts w:ascii="Verdana" w:eastAsia="Times New Roman" w:hAnsi="Verdana" w:cs="Arial"/>
          <w:sz w:val="24"/>
          <w:szCs w:val="24"/>
          <w:lang w:val="es-ES" w:eastAsia="es-ES"/>
        </w:rPr>
        <w:lastRenderedPageBreak/>
        <w:t xml:space="preserve">en el considerando 9°. Para ello se analiza al debate en la Convención Constituyente de 1957 durante la discusión del tema. Había en el seno de la Convención dos posiciones. Una de ellas pretendía que el derecho de huelga se reconociera en cabeza de todos los habitantes, mientras que otra propiciaba que se encontrara solamente en cabeza de los “gremios”. </w:t>
      </w:r>
    </w:p>
    <w:p w14:paraId="39D11AD5" w14:textId="535B6150"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La última posición, más restrictiva, fue sostenida entre otros Convencionales por Jaureguiberry, Acuña, Corona Martínez, Colombo y Ponferrada. Se hacía hincapié en considerar a la huelga como un derecho colectivo, y, por ende, perteneciente a los gremios. También se trataba de evitar una “anarquía” en los reclamos laborales (convencional Acuña). </w:t>
      </w:r>
    </w:p>
    <w:p w14:paraId="25FF22C4" w14:textId="0A874781"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 Posteriormente, en el considerando 10, se describe la opinión del Convencional Bravo, partidario de una posición amplia en la materia, vale decir en reconocer el derecho de huelga a los trabajadores. Para ello, estima que la palabra gremio nos remite a una situación de hecho, ya que se pertenece a un gremio </w:t>
      </w:r>
      <w:r w:rsidR="005B0039">
        <w:rPr>
          <w:rFonts w:ascii="Verdana" w:eastAsia="Times New Roman" w:hAnsi="Verdana" w:cs="Arial"/>
          <w:sz w:val="24"/>
          <w:szCs w:val="24"/>
          <w:lang w:val="es-ES" w:eastAsia="es-ES"/>
        </w:rPr>
        <w:t>debido al</w:t>
      </w:r>
      <w:r w:rsidRPr="00186518">
        <w:rPr>
          <w:rFonts w:ascii="Verdana" w:eastAsia="Times New Roman" w:hAnsi="Verdana" w:cs="Arial"/>
          <w:sz w:val="24"/>
          <w:szCs w:val="24"/>
          <w:lang w:val="es-ES" w:eastAsia="es-ES"/>
        </w:rPr>
        <w:t xml:space="preserve"> oficio que se ejerce. Y ello no depende de la afiliación o no a un sindicato, que es un acto voluntario del trabajador. Por ende, para esta postura, ambos términos, gremio y sindicato, no son sinónimos. Para la posición restringida sí lo son. </w:t>
      </w:r>
    </w:p>
    <w:p w14:paraId="47E57452"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En función de esta discordancia, la Corte decide que la interpretación histórica no es suficiente para arribar a una decisión consistente sobre el punto en debate. Considero por ello que en este fallo quedan palmariamente demostrados los límites y problemas que nos trae la interpretación histórica. Muchas veces sucede que cuando tratamos de indagar acerca de la “voluntad del legislador” podemos encontrarnos que ella no es muchas veces unívoca y precisa, y ello nos impide formular una conclusión razonable. </w:t>
      </w:r>
    </w:p>
    <w:p w14:paraId="48AC53B1"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Para tomar finalmente su decisión, el Alto Tribunal hace un repaso por la normativa internacional, tanto los Tratados Internacionales con </w:t>
      </w:r>
      <w:r w:rsidRPr="00186518">
        <w:rPr>
          <w:rFonts w:ascii="Verdana" w:eastAsia="Times New Roman" w:hAnsi="Verdana" w:cs="Arial"/>
          <w:sz w:val="24"/>
          <w:szCs w:val="24"/>
          <w:lang w:val="es-ES" w:eastAsia="es-ES"/>
        </w:rPr>
        <w:lastRenderedPageBreak/>
        <w:t xml:space="preserve">Jerarquía Constitucional como los Convenios de la OIT, de rango supralegal, no debemos olvidar que luego de la Reforma Constitucional de 1994, y cada vez con mayor intensidad los tribunales de justicia ejercen tanto el control de constitucionalidad como el de convencionalidad. El Tribunal termina por concluir que solamente el derecho de huelga puede ser utilizado por los gremios y que debe entenderse como gremio a aquellas agrupaciones sindicales de trabajadores inscriptas en un registro especial. Se utiliza aquí el método sistemático de interpretación constitucional. </w:t>
      </w:r>
    </w:p>
    <w:p w14:paraId="16138857"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Vale decir que el triunfo de una de las interpretaciones posibles de la norma debió argumentarse o fundamentarse en razones de orden sistemático o semántico, porque la historia no fue de gran ayuda en el caso. Resulta también de interés señalar que en el caso la Corte remarcó un tradicional principio judicial que señala la “autonomía interpretativa” del Alto Tribunal, ya que para emitir su fallo no debe encontrarse limitado por los argumentos vertidos por el tribunal apelado ni por los esgrimidos por las partes del caso, sino que le incumbe efectuar una declaración sobre el punto disputado según su propia y recta interpretación (considerando 6°).</w:t>
      </w:r>
      <w:r w:rsidRPr="00186518">
        <w:rPr>
          <w:rFonts w:ascii="Verdana" w:eastAsia="Times New Roman" w:hAnsi="Verdana" w:cs="Arial"/>
          <w:sz w:val="24"/>
          <w:szCs w:val="24"/>
          <w:vertAlign w:val="superscript"/>
          <w:lang w:val="es-ES" w:eastAsia="es-ES"/>
        </w:rPr>
        <w:footnoteReference w:id="138"/>
      </w:r>
      <w:r w:rsidRPr="00186518">
        <w:rPr>
          <w:rFonts w:ascii="Verdana" w:eastAsia="Times New Roman" w:hAnsi="Verdana" w:cs="Arial"/>
          <w:sz w:val="24"/>
          <w:szCs w:val="24"/>
          <w:lang w:val="es-ES" w:eastAsia="es-ES"/>
        </w:rPr>
        <w:t xml:space="preserve">  </w:t>
      </w:r>
    </w:p>
    <w:p w14:paraId="06623FAF"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Conforme lo visto, en el fallo se utilizan varios métodos interpretativos, entre los que se destacan el semántico, el sistemático e, infructuosamente, el histórico. </w:t>
      </w:r>
    </w:p>
    <w:p w14:paraId="0231DA65" w14:textId="77777777" w:rsidR="00186518" w:rsidRPr="00186518" w:rsidRDefault="00186518" w:rsidP="00AE689A">
      <w:pPr>
        <w:spacing w:after="0" w:line="360" w:lineRule="auto"/>
        <w:rPr>
          <w:rFonts w:ascii="Verdana" w:eastAsia="Times New Roman" w:hAnsi="Verdana" w:cs="Arial"/>
          <w:sz w:val="24"/>
          <w:szCs w:val="24"/>
          <w:lang w:val="es-ES" w:eastAsia="es-ES"/>
        </w:rPr>
      </w:pPr>
    </w:p>
    <w:p w14:paraId="49154870" w14:textId="77777777" w:rsidR="006078E0" w:rsidRDefault="006078E0">
      <w:pPr>
        <w:rPr>
          <w:rFonts w:ascii="Verdana" w:eastAsia="Times New Roman" w:hAnsi="Verdana" w:cs="Arial"/>
          <w:b/>
          <w:bCs/>
          <w:sz w:val="24"/>
          <w:szCs w:val="24"/>
          <w:lang w:val="es-ES" w:eastAsia="es-ES"/>
        </w:rPr>
      </w:pPr>
      <w:r>
        <w:rPr>
          <w:rFonts w:ascii="Verdana" w:eastAsia="Times New Roman" w:hAnsi="Verdana" w:cs="Arial"/>
          <w:b/>
          <w:bCs/>
          <w:sz w:val="24"/>
          <w:szCs w:val="24"/>
          <w:lang w:val="es-ES" w:eastAsia="es-ES"/>
        </w:rPr>
        <w:br w:type="page"/>
      </w:r>
    </w:p>
    <w:p w14:paraId="4713C83D" w14:textId="77777777" w:rsidR="0041405B" w:rsidRDefault="00124FDA" w:rsidP="00AE689A">
      <w:pPr>
        <w:spacing w:after="0" w:line="360" w:lineRule="auto"/>
        <w:rPr>
          <w:rFonts w:ascii="Verdana" w:eastAsia="Times New Roman" w:hAnsi="Verdana" w:cs="Arial"/>
          <w:sz w:val="24"/>
          <w:szCs w:val="24"/>
          <w:lang w:val="es-ES" w:eastAsia="es-ES"/>
        </w:rPr>
      </w:pPr>
      <w:bookmarkStart w:id="8" w:name="_Hlk44539651"/>
      <w:r>
        <w:rPr>
          <w:rFonts w:ascii="Verdana" w:eastAsia="Times New Roman" w:hAnsi="Verdana" w:cs="Arial"/>
          <w:b/>
          <w:bCs/>
          <w:sz w:val="24"/>
          <w:szCs w:val="24"/>
          <w:lang w:val="es-ES" w:eastAsia="es-ES"/>
        </w:rPr>
        <w:lastRenderedPageBreak/>
        <w:t xml:space="preserve">TERCERA PARTE: </w:t>
      </w:r>
      <w:r w:rsidR="00186518" w:rsidRPr="00186518">
        <w:rPr>
          <w:rFonts w:ascii="Verdana" w:eastAsia="Times New Roman" w:hAnsi="Verdana" w:cs="Arial"/>
          <w:b/>
          <w:bCs/>
          <w:sz w:val="24"/>
          <w:szCs w:val="24"/>
          <w:lang w:val="es-ES" w:eastAsia="es-ES"/>
        </w:rPr>
        <w:t>CONCLUSIONES</w:t>
      </w:r>
      <w:r w:rsidR="00186518" w:rsidRPr="00186518">
        <w:rPr>
          <w:rFonts w:ascii="Verdana" w:eastAsia="Times New Roman" w:hAnsi="Verdana" w:cs="Arial"/>
          <w:sz w:val="24"/>
          <w:szCs w:val="24"/>
          <w:lang w:val="es-ES" w:eastAsia="es-ES"/>
        </w:rPr>
        <w:t xml:space="preserve">       </w:t>
      </w:r>
    </w:p>
    <w:bookmarkEnd w:id="8"/>
    <w:p w14:paraId="7F6F9E95" w14:textId="2E24711A"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   </w:t>
      </w:r>
    </w:p>
    <w:p w14:paraId="7823A6FF" w14:textId="51CD1B49"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Como forma de concluir el presente trabajo, se pueden sintetizar las principales ideas expuestas de la siguiente manera:</w:t>
      </w:r>
    </w:p>
    <w:p w14:paraId="0ACA81FF"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a)</w:t>
      </w:r>
      <w:r w:rsidRPr="00186518">
        <w:rPr>
          <w:rFonts w:ascii="Verdana" w:eastAsia="Times New Roman" w:hAnsi="Verdana" w:cs="Arial"/>
          <w:sz w:val="24"/>
          <w:szCs w:val="24"/>
          <w:lang w:val="es-ES" w:eastAsia="es-ES"/>
        </w:rPr>
        <w:tab/>
        <w:t>La interpretación, como actividad de desentrañar el sentido de un texto es una actividad trascendental e imprescindible en el mundo del derecho.</w:t>
      </w:r>
    </w:p>
    <w:p w14:paraId="15E9C2C5"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b)</w:t>
      </w:r>
      <w:r w:rsidRPr="00186518">
        <w:rPr>
          <w:rFonts w:ascii="Verdana" w:eastAsia="Times New Roman" w:hAnsi="Verdana" w:cs="Arial"/>
          <w:sz w:val="24"/>
          <w:szCs w:val="24"/>
          <w:lang w:val="es-ES" w:eastAsia="es-ES"/>
        </w:rPr>
        <w:tab/>
        <w:t>Dentro de ese marco, la interpretación de los textos constitucionales reviste una importancia mayor, dadas las características del lenguaje de las Constituciones, integradas por normas redactadas muchas veces en forma genérica, con la finalidad de obtener el consenso y asegurar su vigencia durante plazos muy largos. Si la problemática de la interpretación es relevante en el Derecho, lo es aún mucho más en el Derecho Constitucional.</w:t>
      </w:r>
    </w:p>
    <w:p w14:paraId="43E1BCB5"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c)</w:t>
      </w:r>
      <w:r w:rsidRPr="00186518">
        <w:rPr>
          <w:rFonts w:ascii="Verdana" w:eastAsia="Times New Roman" w:hAnsi="Verdana" w:cs="Arial"/>
          <w:sz w:val="24"/>
          <w:szCs w:val="24"/>
          <w:lang w:val="es-ES" w:eastAsia="es-ES"/>
        </w:rPr>
        <w:tab/>
        <w:t xml:space="preserve">Asimismo, esta interpretación adquiere una importancia sociopolítica muy grande, que muchas veces trasciende las fronteras del derecho. Las proyecciones de la interpretación de las leyes –y de la Constitución primordialmente- tienen gran implicancia en sociedad. A su vez, ese contexto social, cultural y económico influye sobre los operadores del Derecho que deben interpretarlo. </w:t>
      </w:r>
    </w:p>
    <w:p w14:paraId="46114DFC"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d)</w:t>
      </w:r>
      <w:r w:rsidRPr="00186518">
        <w:rPr>
          <w:rFonts w:ascii="Verdana" w:eastAsia="Times New Roman" w:hAnsi="Verdana" w:cs="Arial"/>
          <w:sz w:val="24"/>
          <w:szCs w:val="24"/>
          <w:lang w:val="es-ES" w:eastAsia="es-ES"/>
        </w:rPr>
        <w:tab/>
        <w:t>Como especie dentro del género de la interpretación de la ley, la interpretación de la Constitución reglas hermenéuticas similares que aquella.</w:t>
      </w:r>
    </w:p>
    <w:p w14:paraId="20E99B69"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 Existe una íntima relación entre la interpretación y el control de constitucionalidad. No hay control de constitucionalidad sin interpretación. El control de constitucionalidad –y el de razonabilidad- presuponen la realización de una tarea hermenéutica.   </w:t>
      </w:r>
    </w:p>
    <w:p w14:paraId="3CFBBCF9" w14:textId="449C97DC"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e) En un primer momento la Teoría del Derecho hablaba de métodos de interpretación. Ese concepto estaba vinculado a un momento histórico </w:t>
      </w:r>
      <w:r w:rsidRPr="00186518">
        <w:rPr>
          <w:rFonts w:ascii="Verdana" w:eastAsia="Times New Roman" w:hAnsi="Verdana" w:cs="Arial"/>
          <w:sz w:val="24"/>
          <w:szCs w:val="24"/>
          <w:lang w:val="es-ES" w:eastAsia="es-ES"/>
        </w:rPr>
        <w:lastRenderedPageBreak/>
        <w:t>nomocéntrico. La misión del juez consistía en desentrañar su sentido o significado.</w:t>
      </w:r>
    </w:p>
    <w:p w14:paraId="208D6E48"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f) Posteriormente la Teoría Jurídica retomó la idea clásica de la argumentación. Y comenzó a cobrar importancia el rol de los jueces como elaboradores de sentencias que deben ser persuasivas, deben convencer a un auditorio (las partes, la comunidad jurídica, la sociedad toda). </w:t>
      </w:r>
    </w:p>
    <w:p w14:paraId="6CCC811E" w14:textId="6D7CEB43"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g) Sin embargo, muchos de los métodos interpretativos pueden pensarse también como argumentos. A los efectos de este trabajo no se realiza una distinción tajante entre métodos de interpretación y argumentos, en el sentido en que, respetando las diferencias iusfilosóficas existentes, el sentido y la finalidad de </w:t>
      </w:r>
      <w:r w:rsidR="00124FDA">
        <w:rPr>
          <w:rFonts w:ascii="Verdana" w:eastAsia="Times New Roman" w:hAnsi="Verdana" w:cs="Arial"/>
          <w:sz w:val="24"/>
          <w:szCs w:val="24"/>
          <w:lang w:val="es-ES" w:eastAsia="es-ES"/>
        </w:rPr>
        <w:t>ellos</w:t>
      </w:r>
      <w:r w:rsidRPr="00186518">
        <w:rPr>
          <w:rFonts w:ascii="Verdana" w:eastAsia="Times New Roman" w:hAnsi="Verdana" w:cs="Arial"/>
          <w:sz w:val="24"/>
          <w:szCs w:val="24"/>
          <w:lang w:val="es-ES" w:eastAsia="es-ES"/>
        </w:rPr>
        <w:t xml:space="preserve"> es equivalente. </w:t>
      </w:r>
    </w:p>
    <w:p w14:paraId="7C82483E" w14:textId="1D219DD2"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h) Pueden señalarse como </w:t>
      </w:r>
      <w:r w:rsidR="00124FDA">
        <w:rPr>
          <w:rFonts w:ascii="Verdana" w:eastAsia="Times New Roman" w:hAnsi="Verdana" w:cs="Arial"/>
          <w:sz w:val="24"/>
          <w:szCs w:val="24"/>
          <w:lang w:val="es-ES" w:eastAsia="es-ES"/>
        </w:rPr>
        <w:t>criterios</w:t>
      </w:r>
      <w:r w:rsidRPr="00186518">
        <w:rPr>
          <w:rFonts w:ascii="Verdana" w:eastAsia="Times New Roman" w:hAnsi="Verdana" w:cs="Arial"/>
          <w:sz w:val="24"/>
          <w:szCs w:val="24"/>
          <w:lang w:val="es-ES" w:eastAsia="es-ES"/>
        </w:rPr>
        <w:t xml:space="preserve"> hermenéuticos o argumentativos que cobran gran importancia en relación con la Constitución los siguientes: el finalista o teleológico, el sistemático (que entiende la Constitución como una unidad), el originalista o estático, el histórico o de la voluntad del Constituyente, y el dinámico, constructivista o progresista. Ellos son los que más veces aparecen utilizados en los fallos reseñados. </w:t>
      </w:r>
    </w:p>
    <w:p w14:paraId="2D1A658A"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i) Los diferentes argumentos esgrimidos en una sentencia se hallan generalmente relacionados o encadenados entre sí. Constituyen una serie de razones que justifican una decisión judicial. Por consiguiente, cada sentencia puede verse como estructurada por una estrategia argumentativa. </w:t>
      </w:r>
    </w:p>
    <w:p w14:paraId="68B63214"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j) En este orden de ideas, podrían distinguirse en el marco de una sentencia judicial, y dentro de su estructura argumentativa, un argumento principal y argumentos accesorios</w:t>
      </w:r>
    </w:p>
    <w:p w14:paraId="30AC0607"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k) Nuestra Corte Suprema de Justicia de la Nación, en todas sus composiciones y a lo largo del tiempo, ha utilizado todos los métodos interpretativos. </w:t>
      </w:r>
    </w:p>
    <w:p w14:paraId="52700F70"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lastRenderedPageBreak/>
        <w:t xml:space="preserve">l) Y en materia de interpretación de las disposiciones sociales de la Constitución, todos los métodos hermenéuticos han sido utilizados a lo largo del tiempo por la Corte Suprema, con la finalidad de garantizar la plena vigencia del Estado Social y Democrático de Derecho, propio del Constitucionalismo Social, vigente en la Argentina desde la Reforma Constitucional de 1957 y reforzado por la Reforma Constitucional de 1994 que le ha otorgado una doble protección suprema: de fuente interna y de fuente internacional. </w:t>
      </w:r>
    </w:p>
    <w:p w14:paraId="300D0DCF" w14:textId="77777777" w:rsidR="00186518" w:rsidRP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ll) Lo que puede notarse a través de la lectura de los fallos estudiados es que los métodos o argumentos finalista y sistemático, son los más utilizados por la Corte dentro de la materia. </w:t>
      </w:r>
    </w:p>
    <w:p w14:paraId="7FD79B08" w14:textId="0AC18DC6" w:rsidR="00186518" w:rsidRDefault="00186518" w:rsidP="00AE689A">
      <w:pPr>
        <w:spacing w:after="0" w:line="360" w:lineRule="auto"/>
        <w:rPr>
          <w:rFonts w:ascii="Verdana" w:eastAsia="Times New Roman" w:hAnsi="Verdana" w:cs="Arial"/>
          <w:sz w:val="24"/>
          <w:szCs w:val="24"/>
          <w:lang w:val="es-ES" w:eastAsia="es-ES"/>
        </w:rPr>
      </w:pPr>
      <w:r w:rsidRPr="00186518">
        <w:rPr>
          <w:rFonts w:ascii="Verdana" w:eastAsia="Times New Roman" w:hAnsi="Verdana" w:cs="Arial"/>
          <w:sz w:val="24"/>
          <w:szCs w:val="24"/>
          <w:lang w:val="es-ES" w:eastAsia="es-ES"/>
        </w:rPr>
        <w:t xml:space="preserve">m) Y que cobra especial relevancia a partir de la Reforma Constitucional de 1994 el método sistemático, a los fines de interpretar el Bloque de Constitucionalidad compuesto por la Constitución Nacional y los Instrumentos Internacionales con Jerarquía Constitucional (art. 75 inc. 22 CN). Dicha importancia lo convierte, a mi entender, en un método o argumento que siempre debe estar presente en las sentencias que resuelvan litigios sobre derechos económicos, sociales y culturales de rango constitucional.  </w:t>
      </w:r>
    </w:p>
    <w:p w14:paraId="3E6892DC" w14:textId="1DC6E987" w:rsidR="0041405B" w:rsidRPr="00186518" w:rsidRDefault="0041405B" w:rsidP="00AE689A">
      <w:pPr>
        <w:spacing w:after="0" w:line="360" w:lineRule="auto"/>
        <w:rPr>
          <w:rFonts w:ascii="Verdana" w:eastAsia="Times New Roman" w:hAnsi="Verdana" w:cs="Arial"/>
          <w:sz w:val="24"/>
          <w:szCs w:val="24"/>
          <w:lang w:val="es-ES" w:eastAsia="es-ES"/>
        </w:rPr>
      </w:pPr>
      <w:r>
        <w:rPr>
          <w:rFonts w:ascii="Verdana" w:eastAsia="Times New Roman" w:hAnsi="Verdana" w:cs="Arial"/>
          <w:sz w:val="24"/>
          <w:szCs w:val="24"/>
          <w:lang w:val="es-ES" w:eastAsia="es-ES"/>
        </w:rPr>
        <w:t xml:space="preserve">n) Finalmente, cobra importancia el carácter restrictivo o extensivo de los derechos como resultado de los diferentes criterios o enfoques interpretativos. </w:t>
      </w:r>
    </w:p>
    <w:p w14:paraId="0D638423" w14:textId="77777777" w:rsidR="00186518" w:rsidRPr="00186518" w:rsidRDefault="00186518" w:rsidP="00AE689A">
      <w:pPr>
        <w:spacing w:after="0" w:line="360" w:lineRule="auto"/>
        <w:rPr>
          <w:rFonts w:ascii="Verdana" w:eastAsia="Times New Roman" w:hAnsi="Verdana" w:cs="Arial"/>
          <w:sz w:val="24"/>
          <w:szCs w:val="24"/>
          <w:lang w:val="es-ES" w:eastAsia="es-ES"/>
        </w:rPr>
      </w:pPr>
    </w:p>
    <w:p w14:paraId="3DD0DA81" w14:textId="77777777" w:rsidR="00186518" w:rsidRPr="00186518" w:rsidRDefault="00186518" w:rsidP="00AE689A">
      <w:pPr>
        <w:spacing w:after="0" w:line="360" w:lineRule="auto"/>
        <w:rPr>
          <w:rFonts w:ascii="Verdana" w:eastAsia="Times New Roman" w:hAnsi="Verdana" w:cs="Arial"/>
          <w:sz w:val="24"/>
          <w:szCs w:val="24"/>
          <w:lang w:val="es-ES" w:eastAsia="es-ES"/>
        </w:rPr>
      </w:pPr>
    </w:p>
    <w:p w14:paraId="105B4BA7" w14:textId="77777777" w:rsidR="00186518" w:rsidRPr="00186518" w:rsidRDefault="00186518" w:rsidP="00AE689A">
      <w:pPr>
        <w:spacing w:after="0" w:line="360" w:lineRule="auto"/>
        <w:rPr>
          <w:rFonts w:ascii="Verdana" w:eastAsia="Times New Roman" w:hAnsi="Verdana" w:cs="Arial"/>
          <w:sz w:val="24"/>
          <w:szCs w:val="24"/>
          <w:lang w:val="es-ES" w:eastAsia="es-ES"/>
        </w:rPr>
      </w:pPr>
    </w:p>
    <w:p w14:paraId="1971EF68" w14:textId="77777777" w:rsidR="00186518" w:rsidRPr="00186518" w:rsidRDefault="00186518" w:rsidP="00AE689A">
      <w:pPr>
        <w:spacing w:after="0" w:line="360" w:lineRule="auto"/>
        <w:rPr>
          <w:rFonts w:ascii="Verdana" w:eastAsia="Times New Roman" w:hAnsi="Verdana" w:cs="Arial"/>
          <w:sz w:val="24"/>
          <w:szCs w:val="24"/>
          <w:lang w:val="es-ES" w:eastAsia="es-ES"/>
        </w:rPr>
      </w:pPr>
    </w:p>
    <w:p w14:paraId="42FA22ED" w14:textId="268BAB2C" w:rsidR="00186518" w:rsidRPr="00085948" w:rsidRDefault="00186518" w:rsidP="007E27D0">
      <w:pPr>
        <w:spacing w:after="0" w:line="360" w:lineRule="auto"/>
        <w:jc w:val="center"/>
        <w:rPr>
          <w:rFonts w:ascii="Verdana" w:eastAsia="Times New Roman" w:hAnsi="Verdana" w:cs="Arial"/>
          <w:b/>
          <w:bCs/>
          <w:i/>
          <w:sz w:val="24"/>
          <w:szCs w:val="24"/>
          <w:lang w:val="en-US" w:eastAsia="es-ES"/>
        </w:rPr>
      </w:pPr>
      <w:r w:rsidRPr="00085948">
        <w:rPr>
          <w:rFonts w:ascii="Verdana" w:eastAsia="Times New Roman" w:hAnsi="Verdana" w:cs="Arial"/>
          <w:b/>
          <w:bCs/>
          <w:i/>
          <w:sz w:val="24"/>
          <w:szCs w:val="24"/>
          <w:lang w:val="en-US" w:eastAsia="es-ES"/>
        </w:rPr>
        <w:t>B I B L I O G R A F Í A</w:t>
      </w:r>
    </w:p>
    <w:p w14:paraId="111AB624" w14:textId="77777777" w:rsidR="00186518" w:rsidRPr="00186518" w:rsidRDefault="00186518" w:rsidP="00AE689A">
      <w:pPr>
        <w:spacing w:after="0" w:line="360" w:lineRule="auto"/>
        <w:rPr>
          <w:rFonts w:ascii="Verdana" w:eastAsia="Times New Roman" w:hAnsi="Verdana" w:cs="Arial"/>
          <w:sz w:val="24"/>
          <w:szCs w:val="24"/>
          <w:lang w:val="en-US" w:eastAsia="es-ES"/>
        </w:rPr>
      </w:pPr>
    </w:p>
    <w:p w14:paraId="48CA46F7"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t>Albanese, Susana (coordinadora). El Control de Convencionalidad. Buenos Aires, Ediar, 2008</w:t>
      </w:r>
    </w:p>
    <w:p w14:paraId="13113AF0"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lastRenderedPageBreak/>
        <w:t>Alberdi, Juan Bautista. Sistema económico y rentístico. Buenos Aires, Ediciones Ciudad Argentina, 1998</w:t>
      </w:r>
    </w:p>
    <w:p w14:paraId="170ECE6D"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t xml:space="preserve">Aristóteles. El arte de la Retórica. Traducción, introducción y notas: E. Ignacio Granero. Buenos Aires, Eudeba, 2015 </w:t>
      </w:r>
    </w:p>
    <w:p w14:paraId="2E11D8C8"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t>Asociación Argentina de Derecho Constitucional. A 10 años de la Reforma de la Constitución Nacional. Buenos Aires, AADC, 2005</w:t>
      </w:r>
    </w:p>
    <w:p w14:paraId="7DB6386F"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t xml:space="preserve">Atienza, Manuel. Las razones del derecho. Teoría de la argumentación jurídica. Instituto de Investigaciones Jurídicas. México, UNAM, 2005 </w:t>
      </w:r>
    </w:p>
    <w:p w14:paraId="529FFAFA"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t>Badeni, Gregorio. Manual de Derecho Constitucional. Buenos Aires, La Ley, 2011</w:t>
      </w:r>
    </w:p>
    <w:p w14:paraId="5E6C1E03"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t>Bidart Campos, Germán José. Economía, Constitución y Derechos Sociales. Buenos Aires, Ediar, 1997</w:t>
      </w:r>
    </w:p>
    <w:p w14:paraId="74C84715"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t>Bidart Campos, Germán José. La Corte Suprema. El Tribunal de las garantías constitucionales Actualizado por Pablo L. Manili. Buenos Aires, Ediar, 2010</w:t>
      </w:r>
    </w:p>
    <w:p w14:paraId="425BE358" w14:textId="28F9082D"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t>Bidart Campos, Germán José. Tratado Elemental de Derecho Constitucional Argentino. Nueva edición ampliada y actualizada a 1999 –2000. Buenos Aires, Ediar, 2000</w:t>
      </w:r>
    </w:p>
    <w:p w14:paraId="5A2D8467"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t>Bielsa, Rafael. La protección constitucional y el recurso extraordinario; jurisdicción de la Corte Suprema. Buenos Aires, Facultad de Derecho y Ciencias Sociales, 1936</w:t>
      </w:r>
    </w:p>
    <w:p w14:paraId="1F3D50AA"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t>Bonavides, Paulo. Del Estado Liberal al Estado Social. Buenos Aires, Astrea, 2014</w:t>
      </w:r>
    </w:p>
    <w:p w14:paraId="0E4C5D28"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val="en-US" w:eastAsia="es-ES"/>
        </w:rPr>
        <w:t xml:space="preserve">Cao, Christian Alberto. </w:t>
      </w:r>
      <w:r w:rsidRPr="00146D5B">
        <w:rPr>
          <w:rFonts w:ascii="Verdana" w:eastAsia="Times New Roman" w:hAnsi="Verdana" w:cs="Arial"/>
          <w:i/>
          <w:iCs/>
          <w:sz w:val="24"/>
          <w:szCs w:val="24"/>
          <w:lang w:eastAsia="es-ES"/>
        </w:rPr>
        <w:t>Constitución socioeconómica y derechos fundamentales. Estudio comparado entre los casos de España y Argentina. Buenos Aires, Ediar, 2015</w:t>
      </w:r>
    </w:p>
    <w:p w14:paraId="229E8161"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t>Cardinaux, Nancy; Clérico María Laura y D’Auria, Aníbal. Las razones de la producción del derecho: argumentación constitucional, argumentación parlamentaria y argumentación en la selección de los jueces. Buenos Aires, Facultad de Derecho de la Universidad de Buenos Aires, 2006</w:t>
      </w:r>
    </w:p>
    <w:p w14:paraId="35D62268"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lastRenderedPageBreak/>
        <w:t>Carmona Tinoco, Jorge Ulises. La interpretación judicial constitucional. Prólogo de Jorge Carpizo. México, Instituto de Investigaciones Jurídicas. Comisión Nacional de Derechos Humanos, 1996</w:t>
      </w:r>
    </w:p>
    <w:p w14:paraId="72F2C426"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t>Catenacci, Imerio Jorge. Introducción al Derecho. Teoría general. Argumentación. Razonamiento jurídico. Buenos Aires, Astrea, 2001</w:t>
      </w:r>
    </w:p>
    <w:p w14:paraId="665BD3DF"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t>Cicerón, Marco Tulio. Obras Completas. Vida y discursos. Buenos Aires, Grandes Librerías Anaconda, 1946</w:t>
      </w:r>
    </w:p>
    <w:p w14:paraId="6BDC0BC5"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t xml:space="preserve">Courtis, Christian; Abramovich, Víctor. El umbral de la ciudadanía: el significado de los derechos sociales en el Estado social constitucional. Buenos Aires, Del Puerto, 2006 </w:t>
      </w:r>
    </w:p>
    <w:p w14:paraId="73BC64C6"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t>Dalla Via, Alberto Ricardo. Derechos económicos y sociales, pobreza extrema y protesta social. Academia Nacional de Ciencias Morales y Políticas. Anales. Tomo XXXIII (2006), Parte I. Buenos Aires, 2007, páginas 493 a 511</w:t>
      </w:r>
    </w:p>
    <w:p w14:paraId="1D72E276"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t xml:space="preserve">Dalla Via, Alberto Ricardo. Instituciones de Derecho Político y Constitucional. Teoría del Estado y de la Constitución. Tomo I A. Buenos Aires, Abeledo Perrot, 2013 </w:t>
      </w:r>
    </w:p>
    <w:p w14:paraId="5B669D4F"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t>Dalla Via, Alberto Ricardo. Manual de Derecho Constitucional. Segunda edición. Buenos Aires, Abeledo Perrot, 2009</w:t>
      </w:r>
    </w:p>
    <w:p w14:paraId="0AADD4BE"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t xml:space="preserve">Dalla Via, Alberto Ricardo; García Lema, Alberto Manuel (Directores). Nuevos Derechos y Garantías. Santa Fe, Rubinzal Culzoni, 2008, Tomo I </w:t>
      </w:r>
    </w:p>
    <w:p w14:paraId="49C725DC"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t>Dalla Via, Alberto Ricardo. Teoría política y constitucional. México, UNAM, 2006</w:t>
      </w:r>
    </w:p>
    <w:p w14:paraId="78044288"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t>Fayt, Carlos S. Evolución de los derechos sociales; del reconocimiento a la exigibilidad: el legado del siglo XX y los desafíos del siglo XXI. Buenos Aires, La Ley, 2007</w:t>
      </w:r>
    </w:p>
    <w:p w14:paraId="567964E6"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t xml:space="preserve">Fayt, Carlos S. La Corte Suprema y la evolución de su jurisprudencia. </w:t>
      </w:r>
      <w:r w:rsidRPr="00146D5B">
        <w:rPr>
          <w:rFonts w:ascii="Verdana" w:eastAsia="Times New Roman" w:hAnsi="Verdana" w:cs="Arial"/>
          <w:i/>
          <w:iCs/>
          <w:sz w:val="24"/>
          <w:szCs w:val="24"/>
          <w:lang w:val="en-US" w:eastAsia="es-ES"/>
        </w:rPr>
        <w:t xml:space="preserve">Leading cases y holdings. </w:t>
      </w:r>
      <w:r w:rsidRPr="00146D5B">
        <w:rPr>
          <w:rFonts w:ascii="Verdana" w:eastAsia="Times New Roman" w:hAnsi="Verdana" w:cs="Arial"/>
          <w:i/>
          <w:iCs/>
          <w:sz w:val="24"/>
          <w:szCs w:val="24"/>
          <w:lang w:eastAsia="es-ES"/>
        </w:rPr>
        <w:t>Casos trascendentes. Buenos Aires, La Ley, 2004</w:t>
      </w:r>
    </w:p>
    <w:p w14:paraId="0A20B163"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lastRenderedPageBreak/>
        <w:t>Ferrajoli, Luigi. Derecho y razón. Teoría del garantismo jurídico. Prólogo de Norberto Bobbio. Madrid, Editorial Trotta, 1995</w:t>
      </w:r>
    </w:p>
    <w:p w14:paraId="2341D0AC"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t>Ferrater Mora, José. Diccionario de Filosofía. Madrid, Alianza Editorial, 1979. Cuatro Tomos</w:t>
      </w:r>
    </w:p>
    <w:p w14:paraId="2EEF28AF"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t>Fix Zamudio, Héctor; Valencia Carmona, Salvador. Derecho Constitucional mexicano y comparado. Séptima edición. México, Editorial Porrúa, 2010</w:t>
      </w:r>
    </w:p>
    <w:p w14:paraId="27F87F04"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t>Flores, María Sandra. Interpretación constitucional. Córdoba, Editorial Mediterránea, 2006</w:t>
      </w:r>
    </w:p>
    <w:p w14:paraId="032D9433"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t>Gargarella, Roberto. Interpretación constitucional. En: Albanese, Susana (et. al.). Derecho Constitucional. Buenos Aires, Editorial Universidad, 2004</w:t>
      </w:r>
    </w:p>
    <w:p w14:paraId="069B108B"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t xml:space="preserve">Gelli, María Angélica. Constitución de la Nación Argentina. Comentada y concordada. Tercera edición ampliada y actualizada. Buenos Aires, La Ley, 2008 </w:t>
      </w:r>
    </w:p>
    <w:p w14:paraId="05D657D4"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t>Gelli, María Angélica. Los casos “Vizzoti” y “Aquino” y el examen de los efectos de las sentencias. Buenos Aires, La Ley 2005-A, 922</w:t>
      </w:r>
    </w:p>
    <w:p w14:paraId="0AF41462"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t>Gialdino, Rolando E. La Corte Suprema y la titularidad del derecho de huelga. El caso Orellano: un regreso al siglo XIX. Buenos Aires, Derecho del Trabajo, Thomson Reuters La Ley, octubre de 2016, página 2367</w:t>
      </w:r>
    </w:p>
    <w:p w14:paraId="50BEBCE9"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t>Ghirardi, Olsen A. El razonamiento judicial. Córdoba, Academia Nacional de Derecho y Ciencias Sociales. Instituto de Filosofía del Derecho, 2001</w:t>
      </w:r>
    </w:p>
    <w:p w14:paraId="40620A41" w14:textId="77777777" w:rsidR="00186518" w:rsidRPr="00146D5B" w:rsidRDefault="00186518" w:rsidP="00AE689A">
      <w:pPr>
        <w:spacing w:after="0" w:line="360" w:lineRule="auto"/>
        <w:rPr>
          <w:rFonts w:ascii="Verdana" w:eastAsia="Times New Roman" w:hAnsi="Verdana" w:cs="Arial"/>
          <w:i/>
          <w:iCs/>
          <w:sz w:val="24"/>
          <w:szCs w:val="24"/>
          <w:lang w:val="en-GB" w:eastAsia="es-ES"/>
        </w:rPr>
      </w:pPr>
      <w:r w:rsidRPr="00146D5B">
        <w:rPr>
          <w:rFonts w:ascii="Verdana" w:eastAsia="Times New Roman" w:hAnsi="Verdana" w:cs="Arial"/>
          <w:i/>
          <w:iCs/>
          <w:sz w:val="24"/>
          <w:szCs w:val="24"/>
          <w:lang w:eastAsia="es-ES"/>
        </w:rPr>
        <w:t xml:space="preserve">Guastini, Riccardo. Estudios sobre interpretación jurídica. </w:t>
      </w:r>
      <w:r w:rsidRPr="00146D5B">
        <w:rPr>
          <w:rFonts w:ascii="Verdana" w:eastAsia="Times New Roman" w:hAnsi="Verdana" w:cs="Arial"/>
          <w:i/>
          <w:iCs/>
          <w:sz w:val="24"/>
          <w:szCs w:val="24"/>
          <w:lang w:val="en-GB" w:eastAsia="es-ES"/>
        </w:rPr>
        <w:t xml:space="preserve">México, UNAM, 1999 </w:t>
      </w:r>
    </w:p>
    <w:p w14:paraId="0C304572"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val="en-GB" w:eastAsia="es-ES"/>
        </w:rPr>
        <w:t xml:space="preserve">Hamilton, Alexander; Madison, James; Jay, John. </w:t>
      </w:r>
      <w:r w:rsidRPr="00146D5B">
        <w:rPr>
          <w:rFonts w:ascii="Verdana" w:eastAsia="Times New Roman" w:hAnsi="Verdana" w:cs="Arial"/>
          <w:i/>
          <w:iCs/>
          <w:sz w:val="24"/>
          <w:szCs w:val="24"/>
          <w:lang w:eastAsia="es-ES"/>
        </w:rPr>
        <w:t xml:space="preserve">El Federalista. Segunda edición. Tercera reimpresión. México, Fondo de Cultura Económica, 2010 </w:t>
      </w:r>
    </w:p>
    <w:p w14:paraId="32E4D41F"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t xml:space="preserve">Guibourg, Ricardo A. Pensar las normas. Buenos Aires, Eudeba, 1999 </w:t>
      </w:r>
    </w:p>
    <w:p w14:paraId="0FAA7B76"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t>Hesse, Konrad. Escritos de Derecho Constitucional. Madrid, Centro de Estudios Constitucionales, 1992</w:t>
      </w:r>
    </w:p>
    <w:p w14:paraId="1A4F1B50"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val="en-GB" w:eastAsia="es-ES"/>
        </w:rPr>
        <w:lastRenderedPageBreak/>
        <w:t xml:space="preserve">Holmes, Oliver Wendell. </w:t>
      </w:r>
      <w:r w:rsidRPr="00146D5B">
        <w:rPr>
          <w:rFonts w:ascii="Verdana" w:eastAsia="Times New Roman" w:hAnsi="Verdana" w:cs="Arial"/>
          <w:i/>
          <w:iCs/>
          <w:sz w:val="24"/>
          <w:szCs w:val="24"/>
          <w:lang w:eastAsia="es-ES"/>
        </w:rPr>
        <w:t>La senda del derecho. Buenos Aires, Abeledo Perrot, 1975</w:t>
      </w:r>
    </w:p>
    <w:p w14:paraId="50F4266D"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t>Jiménez, Eduardo Pablo. Derecho Constitucional Argentino. Buenos Aires, Ediar, 2000, tomo I.</w:t>
      </w:r>
    </w:p>
    <w:p w14:paraId="4172FD49"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t>Linares, Juan Francisco. Razonabilidad de las leyes. Buenos Aires, Astrea, 1970</w:t>
      </w:r>
    </w:p>
    <w:p w14:paraId="736BC39D"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t>Linares Quintana, Segundo V. La doctrina de la Corte Suprema sobre amparo de la libertad y los grupos de interés y presión. Buenos Aires, La Ley, Tomo 92 página 626</w:t>
      </w:r>
    </w:p>
    <w:p w14:paraId="083C6609"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t>Linares Quintana, Segundo V. Tratado de interpretación constitucional. Homenaje a Karl Loewenstein. Con la colaboración de Antonio Castagno. Segunda edición corregida y aumentada. Buenos Aires, Abeledo Perrot, 2007</w:t>
      </w:r>
    </w:p>
    <w:p w14:paraId="10230E76"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t>Lorenzetti, Ricardo Luis. Teoría de la decisión judicial. Fundamentos del Derecho. Santa Fe, Rubinzal Culzoni, 2008</w:t>
      </w:r>
    </w:p>
    <w:p w14:paraId="2BEE7845"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t xml:space="preserve">Manili, Pablo Luis. Constitucionalismo Social. Prólogo de Carlos Fayt. Buenos Aires, Astrea, 2016  </w:t>
      </w:r>
    </w:p>
    <w:p w14:paraId="7688B9C4"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t>Manili, Pablo Luis. Evolución de la jurisprudencia de la Corte Suprema de Justicia de la Nación 1863-2007. Buenos Aires, Editorial Universidad, 2007</w:t>
      </w:r>
    </w:p>
    <w:p w14:paraId="764B9813"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t>Marí, Enrique. La interpretación de la ley. Buenos Aires, Eudeba, 2014</w:t>
      </w:r>
    </w:p>
    <w:p w14:paraId="4D16051E"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t>Maza, Miguel Ángel. El tope salarial del art. 245 LCT y la doctrina del caso “Vizzoti” de la Corte Suprema. Revista de Derecho Laboral. Buenos Aires, Rubinzal Culzoni, 2004, Número Extraordinario. Fallos recientes de la CSJN, página 41</w:t>
      </w:r>
    </w:p>
    <w:p w14:paraId="60CF1F3F"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t>Méndez, Julio Raúl. Reflexiones iusfilosóficas en torno al trasplante de órganos. Buenos Aires, La Ley 1981-A, 398</w:t>
      </w:r>
    </w:p>
    <w:p w14:paraId="04EE9B71"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t>Morello, Augusto Mario. La Corte Suprema en el Sistema Político. Buenos Aires, Lexis Nexis, Abeledo Perrot, 2005</w:t>
      </w:r>
    </w:p>
    <w:p w14:paraId="50CDF293"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lastRenderedPageBreak/>
        <w:t>Nino, Carlos Santiago. Introducción al análisis del derecho. Segunda edición ampliada y revisada. Buenos Aires, Astrea, 2003</w:t>
      </w:r>
    </w:p>
    <w:p w14:paraId="07DFD7E8"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t>Peces-Barba, Gregorio. Derechos Fundamentales. Segunda edición. Madrid, Biblioteca Universitaria Guadiana, 1976</w:t>
      </w:r>
    </w:p>
    <w:p w14:paraId="316AA557"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t>Quiroga Lavié, Humberto; Benedetti, Miguel Ángel; Cenicacelaya, María de las Nieves. Derecho Constitucional Argentino. Segunda edición actualizada por Humberto Quiroga Lavié. Santa Fe, Rubinzal Culzoni, 2009</w:t>
      </w:r>
    </w:p>
    <w:p w14:paraId="6355CE13"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t>Rabbi-Baldi Cabanillas, Renato. Teoría del derecho. Buenos Aires, Editorial Ábaco de Rodolfo Depalma, 2008</w:t>
      </w:r>
    </w:p>
    <w:p w14:paraId="6DCF9613"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t xml:space="preserve">Romero, César Enrique. La Corte Suprema y la interpretación constitucional (Meditación Centenaria 1863-1963). Buenos Aires, La Ley, Tomo 110, páginas 1122 </w:t>
      </w:r>
    </w:p>
    <w:p w14:paraId="4FBD5BAD"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t>Rosatti, Horacio Daniel (et. al.). La Reforma de la Constitución. Explicada por miembros de la Comisión de Redacción. Santa Fe, Rubinzal Culzoni Editores, 1994.</w:t>
      </w:r>
    </w:p>
    <w:p w14:paraId="2E72D098"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t>Rosatti, Horacio Daniel. Tratado de Derecho Constitucional. Tomo I. Buenos Aires, Rubinzal Culzoni, 2010</w:t>
      </w:r>
    </w:p>
    <w:p w14:paraId="05B91B68" w14:textId="77777777" w:rsidR="00186518" w:rsidRPr="00146D5B" w:rsidRDefault="00186518" w:rsidP="00AE689A">
      <w:pPr>
        <w:spacing w:after="0" w:line="360" w:lineRule="auto"/>
        <w:rPr>
          <w:rFonts w:ascii="Verdana" w:eastAsia="Times New Roman" w:hAnsi="Verdana" w:cs="Arial"/>
          <w:i/>
          <w:iCs/>
          <w:sz w:val="24"/>
          <w:szCs w:val="24"/>
          <w:lang w:eastAsia="es-ES"/>
        </w:rPr>
      </w:pPr>
      <w:proofErr w:type="spellStart"/>
      <w:r w:rsidRPr="00146D5B">
        <w:rPr>
          <w:rFonts w:ascii="Verdana" w:eastAsia="Times New Roman" w:hAnsi="Verdana" w:cs="Arial"/>
          <w:i/>
          <w:iCs/>
          <w:sz w:val="24"/>
          <w:szCs w:val="24"/>
          <w:lang w:val="en-GB" w:eastAsia="es-ES"/>
        </w:rPr>
        <w:t>Sabsay</w:t>
      </w:r>
      <w:proofErr w:type="spellEnd"/>
      <w:r w:rsidRPr="00146D5B">
        <w:rPr>
          <w:rFonts w:ascii="Verdana" w:eastAsia="Times New Roman" w:hAnsi="Verdana" w:cs="Arial"/>
          <w:i/>
          <w:iCs/>
          <w:sz w:val="24"/>
          <w:szCs w:val="24"/>
          <w:lang w:val="en-GB" w:eastAsia="es-ES"/>
        </w:rPr>
        <w:t xml:space="preserve">, Daniel Alberto. </w:t>
      </w:r>
      <w:r w:rsidRPr="00146D5B">
        <w:rPr>
          <w:rFonts w:ascii="Verdana" w:eastAsia="Times New Roman" w:hAnsi="Verdana" w:cs="Arial"/>
          <w:i/>
          <w:iCs/>
          <w:sz w:val="24"/>
          <w:szCs w:val="24"/>
          <w:lang w:eastAsia="es-ES"/>
        </w:rPr>
        <w:t>Manual de Derecho Constitucional. Buenos Aires, La Ley, 2011</w:t>
      </w:r>
    </w:p>
    <w:p w14:paraId="295D237F"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t>Sagüés, Néstor Pedro. La interpretación judicial de la Constitución. Buenos Aires, Lexis Nexis, 2006</w:t>
      </w:r>
    </w:p>
    <w:p w14:paraId="75279A3F"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t>Santiago, Alfonso (h). En las fronteras entre el derecho constitucional y la filosofía del derecho: consideraciones iusfilosóficas acerca de algunos temas constitucionales. Buenos Aires, Marcial Pons Argentina, 2010</w:t>
      </w:r>
    </w:p>
    <w:p w14:paraId="0B555E4C" w14:textId="77777777" w:rsidR="00186518" w:rsidRPr="00146D5B" w:rsidRDefault="00186518" w:rsidP="00AE689A">
      <w:pPr>
        <w:spacing w:after="0" w:line="360" w:lineRule="auto"/>
        <w:rPr>
          <w:rFonts w:ascii="Verdana" w:eastAsia="Calibri" w:hAnsi="Verdana" w:cs="Arial"/>
          <w:i/>
          <w:iCs/>
          <w:sz w:val="24"/>
          <w:szCs w:val="24"/>
        </w:rPr>
      </w:pPr>
      <w:r w:rsidRPr="00146D5B">
        <w:rPr>
          <w:rFonts w:ascii="Verdana" w:eastAsia="Calibri" w:hAnsi="Verdana" w:cs="Arial"/>
          <w:i/>
          <w:iCs/>
          <w:sz w:val="24"/>
          <w:szCs w:val="24"/>
        </w:rPr>
        <w:t xml:space="preserve">Santiago, Alfonso, Tanzi, Héctor J., Pugliese, María Rosa. Coordinador: Calero, Luciano. Historia de la Corte Suprema Argentina. Tomos I, II y III. Buenos Aires, Editorial Marcial Pons Argentina, 2014. </w:t>
      </w:r>
    </w:p>
    <w:p w14:paraId="650F4361"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t>Sola, Juan Vicente. Control judicial de constitucionalidad. Buenos Aires, Abeledo Perrot, 2001</w:t>
      </w:r>
    </w:p>
    <w:p w14:paraId="1598BBCE"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lastRenderedPageBreak/>
        <w:t>Vanossi, Jorge Reinaldo A. El Estado de Derecho en el Constitucionalismo Social. Tercera edición. Buenos Aires, Eudeba, 2000</w:t>
      </w:r>
    </w:p>
    <w:p w14:paraId="1F697FF7"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t>Vigo, Rodolfo Luis. Interpretación (argumentación) jurídica en el estado de derecho constitucional. Santa Fe, Rubinzal Culzoni, 2015</w:t>
      </w:r>
    </w:p>
    <w:p w14:paraId="2D5EEE10"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t>Vigo, Rodolfo Luis. Los principios jurídicos. Perspectiva jurisprudencial. Buenos Aires, Depalma, 2000</w:t>
      </w:r>
    </w:p>
    <w:p w14:paraId="2DDFB2A8"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t>UNAM Instituto de Investigaciones Jurídicas. Enciclopedia jurídica latinoamericana, tomo VI. Santa Fe, Rubinzal Culzoni, 2007</w:t>
      </w:r>
    </w:p>
    <w:p w14:paraId="79D59E82"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t>Zuleta Puceiro, Enrique. Interpretación de la ley. Casos y materiales para su estudio. Colección Académica. Buenos Aires, La Ley, 2006</w:t>
      </w:r>
    </w:p>
    <w:p w14:paraId="132EEC5F"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t>Zuleta Puceiro, Enrique. Teoría del derecho. Enfoques y aproximaciones. Buenos Aires, Lexis Nexis, 2005</w:t>
      </w:r>
    </w:p>
    <w:p w14:paraId="0A2EB7D4" w14:textId="77777777" w:rsidR="00186518" w:rsidRPr="00146D5B" w:rsidRDefault="00186518" w:rsidP="00AE689A">
      <w:pPr>
        <w:spacing w:after="0" w:line="360" w:lineRule="auto"/>
        <w:rPr>
          <w:rFonts w:ascii="Verdana" w:eastAsia="Times New Roman" w:hAnsi="Verdana" w:cs="Arial"/>
          <w:i/>
          <w:iCs/>
          <w:sz w:val="24"/>
          <w:szCs w:val="24"/>
          <w:lang w:eastAsia="es-ES"/>
        </w:rPr>
      </w:pPr>
    </w:p>
    <w:p w14:paraId="3D4F0626" w14:textId="77777777" w:rsidR="00186518" w:rsidRPr="00146D5B" w:rsidRDefault="00186518" w:rsidP="00AE689A">
      <w:pPr>
        <w:spacing w:after="0" w:line="360" w:lineRule="auto"/>
        <w:rPr>
          <w:rFonts w:ascii="Verdana" w:eastAsia="Times New Roman" w:hAnsi="Verdana" w:cs="Arial"/>
          <w:i/>
          <w:iCs/>
          <w:sz w:val="24"/>
          <w:szCs w:val="24"/>
          <w:lang w:val="es-ES" w:eastAsia="es-ES"/>
        </w:rPr>
      </w:pPr>
    </w:p>
    <w:p w14:paraId="1BABBA3F" w14:textId="77777777" w:rsidR="00186518" w:rsidRPr="00146D5B" w:rsidRDefault="00186518" w:rsidP="00AE689A">
      <w:pPr>
        <w:spacing w:after="0" w:line="360" w:lineRule="auto"/>
        <w:rPr>
          <w:rFonts w:ascii="Verdana" w:eastAsia="Times New Roman" w:hAnsi="Verdana" w:cs="Arial"/>
          <w:i/>
          <w:iCs/>
          <w:sz w:val="24"/>
          <w:szCs w:val="24"/>
          <w:lang w:val="es-ES" w:eastAsia="es-ES"/>
        </w:rPr>
      </w:pPr>
    </w:p>
    <w:p w14:paraId="2614BF95" w14:textId="77777777" w:rsidR="00186518" w:rsidRPr="00146D5B" w:rsidRDefault="00186518" w:rsidP="00AE689A">
      <w:pPr>
        <w:spacing w:after="0" w:line="360" w:lineRule="auto"/>
        <w:rPr>
          <w:rFonts w:ascii="Verdana" w:eastAsia="Times New Roman" w:hAnsi="Verdana" w:cs="Arial"/>
          <w:i/>
          <w:iCs/>
          <w:sz w:val="24"/>
          <w:szCs w:val="24"/>
          <w:lang w:eastAsia="es-ES"/>
        </w:rPr>
      </w:pPr>
    </w:p>
    <w:p w14:paraId="05066F8E" w14:textId="77777777" w:rsidR="00186518" w:rsidRPr="00146D5B" w:rsidRDefault="00186518" w:rsidP="00AE689A">
      <w:pPr>
        <w:spacing w:after="0" w:line="360" w:lineRule="auto"/>
        <w:rPr>
          <w:rFonts w:ascii="Verdana" w:eastAsia="Times New Roman" w:hAnsi="Verdana" w:cs="Arial"/>
          <w:i/>
          <w:iCs/>
          <w:sz w:val="24"/>
          <w:szCs w:val="24"/>
          <w:lang w:eastAsia="es-ES"/>
        </w:rPr>
      </w:pPr>
      <w:r w:rsidRPr="00146D5B">
        <w:rPr>
          <w:rFonts w:ascii="Verdana" w:eastAsia="Times New Roman" w:hAnsi="Verdana" w:cs="Arial"/>
          <w:i/>
          <w:iCs/>
          <w:sz w:val="24"/>
          <w:szCs w:val="24"/>
          <w:lang w:eastAsia="es-ES"/>
        </w:rPr>
        <w:t xml:space="preserve"> </w:t>
      </w:r>
    </w:p>
    <w:p w14:paraId="62F24571" w14:textId="77777777" w:rsidR="00186518" w:rsidRPr="00146D5B" w:rsidRDefault="00186518" w:rsidP="00AE689A">
      <w:pPr>
        <w:spacing w:after="0" w:line="360" w:lineRule="auto"/>
        <w:rPr>
          <w:rFonts w:ascii="Verdana" w:eastAsia="Times New Roman" w:hAnsi="Verdana" w:cs="Arial"/>
          <w:i/>
          <w:iCs/>
          <w:sz w:val="24"/>
          <w:szCs w:val="24"/>
          <w:lang w:val="es-ES" w:eastAsia="es-ES"/>
        </w:rPr>
      </w:pPr>
    </w:p>
    <w:p w14:paraId="035EFC5C" w14:textId="77777777" w:rsidR="00186518" w:rsidRPr="00146D5B" w:rsidRDefault="00186518" w:rsidP="00AE689A">
      <w:pPr>
        <w:spacing w:after="0" w:line="360" w:lineRule="auto"/>
        <w:rPr>
          <w:rFonts w:ascii="Verdana" w:eastAsia="Times New Roman" w:hAnsi="Verdana" w:cs="Arial"/>
          <w:i/>
          <w:iCs/>
          <w:sz w:val="24"/>
          <w:szCs w:val="24"/>
          <w:lang w:val="es-ES" w:eastAsia="es-ES"/>
        </w:rPr>
      </w:pPr>
    </w:p>
    <w:p w14:paraId="6E041602" w14:textId="77777777" w:rsidR="00186518" w:rsidRPr="00146D5B" w:rsidRDefault="00186518" w:rsidP="00AE689A">
      <w:pPr>
        <w:spacing w:after="0" w:line="360" w:lineRule="auto"/>
        <w:rPr>
          <w:rFonts w:ascii="Verdana" w:eastAsia="Times New Roman" w:hAnsi="Verdana" w:cs="Arial"/>
          <w:i/>
          <w:iCs/>
          <w:sz w:val="24"/>
          <w:szCs w:val="24"/>
          <w:lang w:val="es-ES" w:eastAsia="es-ES"/>
        </w:rPr>
      </w:pPr>
    </w:p>
    <w:p w14:paraId="2DCD3A99" w14:textId="77777777" w:rsidR="00186518" w:rsidRPr="00146D5B" w:rsidRDefault="00186518" w:rsidP="00AE689A">
      <w:pPr>
        <w:spacing w:after="0" w:line="360" w:lineRule="auto"/>
        <w:rPr>
          <w:rFonts w:ascii="Verdana" w:eastAsia="Times New Roman" w:hAnsi="Verdana" w:cs="Arial"/>
          <w:i/>
          <w:iCs/>
          <w:sz w:val="24"/>
          <w:szCs w:val="24"/>
          <w:lang w:val="es-ES" w:eastAsia="es-ES"/>
        </w:rPr>
      </w:pPr>
    </w:p>
    <w:p w14:paraId="354DBA67" w14:textId="77777777" w:rsidR="00186518" w:rsidRPr="00186518" w:rsidRDefault="00186518" w:rsidP="00AE689A">
      <w:pPr>
        <w:spacing w:after="0" w:line="360" w:lineRule="auto"/>
        <w:rPr>
          <w:rFonts w:ascii="Verdana" w:eastAsia="Times New Roman" w:hAnsi="Verdana" w:cs="Arial"/>
          <w:sz w:val="24"/>
          <w:szCs w:val="24"/>
          <w:lang w:val="es-ES" w:eastAsia="es-ES"/>
        </w:rPr>
      </w:pPr>
    </w:p>
    <w:p w14:paraId="01F4CB74" w14:textId="77777777" w:rsidR="00186518" w:rsidRPr="00186518" w:rsidRDefault="00186518" w:rsidP="00AE689A">
      <w:pPr>
        <w:spacing w:after="0" w:line="360" w:lineRule="auto"/>
        <w:rPr>
          <w:rFonts w:ascii="Verdana" w:eastAsia="Times New Roman" w:hAnsi="Verdana" w:cs="Arial"/>
          <w:sz w:val="24"/>
          <w:szCs w:val="24"/>
          <w:lang w:val="es-ES" w:eastAsia="es-ES"/>
        </w:rPr>
      </w:pPr>
    </w:p>
    <w:p w14:paraId="272DBFF0" w14:textId="77777777" w:rsidR="00186518" w:rsidRPr="00186518" w:rsidRDefault="00186518" w:rsidP="00AE689A">
      <w:pPr>
        <w:spacing w:after="0" w:line="360" w:lineRule="auto"/>
        <w:rPr>
          <w:rFonts w:ascii="Verdana" w:eastAsia="Times New Roman" w:hAnsi="Verdana" w:cs="Arial"/>
          <w:sz w:val="24"/>
          <w:szCs w:val="24"/>
          <w:lang w:val="es-ES" w:eastAsia="es-ES"/>
        </w:rPr>
      </w:pPr>
    </w:p>
    <w:p w14:paraId="212926C5" w14:textId="77777777" w:rsidR="00186518" w:rsidRPr="00186518" w:rsidRDefault="00186518" w:rsidP="00AE689A">
      <w:pPr>
        <w:spacing w:after="0" w:line="360" w:lineRule="auto"/>
        <w:rPr>
          <w:rFonts w:ascii="Verdana" w:eastAsia="Times New Roman" w:hAnsi="Verdana" w:cs="Arial"/>
          <w:sz w:val="24"/>
          <w:szCs w:val="24"/>
          <w:lang w:val="es-ES" w:eastAsia="es-ES"/>
        </w:rPr>
      </w:pPr>
    </w:p>
    <w:p w14:paraId="42C1101C" w14:textId="77777777" w:rsidR="00186518" w:rsidRPr="00186518" w:rsidRDefault="00186518" w:rsidP="00AE689A">
      <w:pPr>
        <w:spacing w:after="0" w:line="360" w:lineRule="auto"/>
        <w:rPr>
          <w:rFonts w:ascii="Verdana" w:eastAsia="Times New Roman" w:hAnsi="Verdana" w:cs="Arial"/>
          <w:sz w:val="24"/>
          <w:szCs w:val="24"/>
          <w:lang w:val="es-ES" w:eastAsia="es-ES"/>
        </w:rPr>
      </w:pPr>
    </w:p>
    <w:p w14:paraId="0393D306" w14:textId="77777777" w:rsidR="00186518" w:rsidRPr="00186518" w:rsidRDefault="00186518" w:rsidP="00AE689A">
      <w:pPr>
        <w:spacing w:after="0" w:line="360" w:lineRule="auto"/>
        <w:rPr>
          <w:rFonts w:ascii="Verdana" w:eastAsia="Times New Roman" w:hAnsi="Verdana" w:cs="Arial"/>
          <w:sz w:val="24"/>
          <w:szCs w:val="24"/>
          <w:lang w:val="es-ES" w:eastAsia="es-ES"/>
        </w:rPr>
      </w:pPr>
    </w:p>
    <w:p w14:paraId="3FE78E96" w14:textId="77777777" w:rsidR="00186518" w:rsidRPr="00AE689A" w:rsidRDefault="00186518" w:rsidP="00AE689A">
      <w:pPr>
        <w:spacing w:line="360" w:lineRule="auto"/>
        <w:rPr>
          <w:rFonts w:ascii="Verdana" w:hAnsi="Verdana"/>
          <w:sz w:val="24"/>
          <w:szCs w:val="24"/>
        </w:rPr>
      </w:pPr>
    </w:p>
    <w:sectPr w:rsidR="00186518" w:rsidRPr="00AE689A">
      <w:footerReference w:type="even"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DC844A1" w14:textId="77777777" w:rsidR="008621E8" w:rsidRDefault="008621E8" w:rsidP="00186518">
      <w:pPr>
        <w:spacing w:after="0" w:line="240" w:lineRule="auto"/>
      </w:pPr>
      <w:r>
        <w:separator/>
      </w:r>
    </w:p>
  </w:endnote>
  <w:endnote w:type="continuationSeparator" w:id="0">
    <w:p w14:paraId="404039CB" w14:textId="77777777" w:rsidR="008621E8" w:rsidRDefault="008621E8" w:rsidP="001865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2FF8D0" w14:textId="77777777" w:rsidR="00725B7E" w:rsidRDefault="00725B7E">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0F68EE46" w14:textId="77777777" w:rsidR="00725B7E" w:rsidRDefault="00725B7E">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E88085" w14:textId="77777777" w:rsidR="00725B7E" w:rsidRDefault="00725B7E">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64</w:t>
    </w:r>
    <w:r>
      <w:rPr>
        <w:rStyle w:val="Nmerodepgina"/>
      </w:rPr>
      <w:fldChar w:fldCharType="end"/>
    </w:r>
  </w:p>
  <w:p w14:paraId="37973713" w14:textId="77777777" w:rsidR="00725B7E" w:rsidRDefault="00725B7E">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2D64252" w14:textId="77777777" w:rsidR="008621E8" w:rsidRDefault="008621E8" w:rsidP="00186518">
      <w:pPr>
        <w:spacing w:after="0" w:line="240" w:lineRule="auto"/>
      </w:pPr>
      <w:r>
        <w:separator/>
      </w:r>
    </w:p>
  </w:footnote>
  <w:footnote w:type="continuationSeparator" w:id="0">
    <w:p w14:paraId="5222410E" w14:textId="77777777" w:rsidR="008621E8" w:rsidRDefault="008621E8" w:rsidP="00186518">
      <w:pPr>
        <w:spacing w:after="0" w:line="240" w:lineRule="auto"/>
      </w:pPr>
      <w:r>
        <w:continuationSeparator/>
      </w:r>
    </w:p>
  </w:footnote>
  <w:footnote w:id="1">
    <w:p w14:paraId="59134048" w14:textId="77777777" w:rsidR="00725B7E" w:rsidRDefault="00725B7E" w:rsidP="00186518">
      <w:pPr>
        <w:pStyle w:val="Textonotapie"/>
        <w:spacing w:line="360" w:lineRule="auto"/>
        <w:jc w:val="both"/>
        <w:rPr>
          <w:rFonts w:cs="Arial"/>
          <w:sz w:val="22"/>
          <w:szCs w:val="22"/>
        </w:rPr>
      </w:pPr>
      <w:r>
        <w:rPr>
          <w:rStyle w:val="Refdenotaalpie"/>
          <w:rFonts w:cs="Arial"/>
          <w:sz w:val="22"/>
          <w:szCs w:val="22"/>
        </w:rPr>
        <w:footnoteRef/>
      </w:r>
      <w:r>
        <w:rPr>
          <w:rFonts w:cs="Arial"/>
          <w:sz w:val="22"/>
          <w:szCs w:val="22"/>
        </w:rPr>
        <w:t xml:space="preserve"> Real Academia Española. Diccionario de la lengua (h-z). Buenos Aires, Espasa Calpe y Grupo Planeta, 2002, página 1293.</w:t>
      </w:r>
    </w:p>
  </w:footnote>
  <w:footnote w:id="2">
    <w:p w14:paraId="5295DF59" w14:textId="77777777" w:rsidR="00725B7E" w:rsidRDefault="00725B7E" w:rsidP="00186518">
      <w:pPr>
        <w:pStyle w:val="Textonotapie"/>
        <w:spacing w:line="360" w:lineRule="auto"/>
        <w:jc w:val="both"/>
        <w:rPr>
          <w:rFonts w:cs="Arial"/>
          <w:sz w:val="22"/>
          <w:szCs w:val="22"/>
        </w:rPr>
      </w:pPr>
      <w:r>
        <w:rPr>
          <w:rStyle w:val="Refdenotaalpie"/>
          <w:rFonts w:cs="Arial"/>
          <w:sz w:val="22"/>
          <w:szCs w:val="22"/>
        </w:rPr>
        <w:footnoteRef/>
      </w:r>
      <w:r>
        <w:rPr>
          <w:rFonts w:cs="Arial"/>
          <w:sz w:val="22"/>
          <w:szCs w:val="22"/>
        </w:rPr>
        <w:t xml:space="preserve"> UNAM, Instituto de Investigaciones Jurídicas. Enciclopedia Jurídica Latinoamericana, tomo VI. Santa Fe, Rubinzal Culzoni, 2007, página 481.</w:t>
      </w:r>
    </w:p>
  </w:footnote>
  <w:footnote w:id="3">
    <w:p w14:paraId="5AA64753" w14:textId="77777777" w:rsidR="00725B7E" w:rsidRDefault="00725B7E" w:rsidP="00186518">
      <w:pPr>
        <w:pStyle w:val="Textonotapie"/>
        <w:spacing w:line="360" w:lineRule="auto"/>
        <w:jc w:val="both"/>
        <w:rPr>
          <w:rFonts w:cs="Arial"/>
          <w:sz w:val="22"/>
          <w:szCs w:val="22"/>
          <w:lang w:val="es-ES"/>
        </w:rPr>
      </w:pPr>
      <w:r>
        <w:rPr>
          <w:rStyle w:val="Refdenotaalpie"/>
          <w:rFonts w:cs="Arial"/>
          <w:sz w:val="22"/>
          <w:szCs w:val="22"/>
        </w:rPr>
        <w:footnoteRef/>
      </w:r>
      <w:r>
        <w:rPr>
          <w:rFonts w:cs="Arial"/>
          <w:sz w:val="22"/>
          <w:szCs w:val="22"/>
        </w:rPr>
        <w:t xml:space="preserve"> </w:t>
      </w:r>
      <w:r>
        <w:rPr>
          <w:rFonts w:cs="Arial"/>
          <w:sz w:val="22"/>
          <w:szCs w:val="22"/>
          <w:lang w:val="es-ES"/>
        </w:rPr>
        <w:t>Zuleta Puceiro, Enrique. Interpretación de la ley. Casos y materiales para su estudio. Colección Académica. Buenos Aires, La Ley, 2006, página 22.</w:t>
      </w:r>
    </w:p>
  </w:footnote>
  <w:footnote w:id="4">
    <w:p w14:paraId="380B2DDE" w14:textId="77777777" w:rsidR="00725B7E" w:rsidRDefault="00725B7E" w:rsidP="00186518">
      <w:pPr>
        <w:pStyle w:val="Textonotapie"/>
        <w:spacing w:line="360" w:lineRule="auto"/>
        <w:jc w:val="both"/>
        <w:rPr>
          <w:rFonts w:cs="Arial"/>
          <w:sz w:val="22"/>
          <w:szCs w:val="22"/>
          <w:lang w:val="es-ES"/>
        </w:rPr>
      </w:pPr>
      <w:r>
        <w:rPr>
          <w:rStyle w:val="Refdenotaalpie"/>
          <w:rFonts w:cs="Arial"/>
          <w:sz w:val="22"/>
          <w:szCs w:val="22"/>
        </w:rPr>
        <w:footnoteRef/>
      </w:r>
      <w:r>
        <w:rPr>
          <w:rFonts w:cs="Arial"/>
          <w:sz w:val="22"/>
          <w:szCs w:val="22"/>
        </w:rPr>
        <w:t xml:space="preserve"> </w:t>
      </w:r>
      <w:r>
        <w:rPr>
          <w:rFonts w:cs="Arial"/>
          <w:sz w:val="22"/>
          <w:szCs w:val="22"/>
          <w:lang w:val="es-ES"/>
        </w:rPr>
        <w:t>Nino, Carlos Santiago. Introducción al análisis del derecho. 2º edición ampliada y revisada. Buenos Aires, Astrea, 2003, página 246.</w:t>
      </w:r>
    </w:p>
  </w:footnote>
  <w:footnote w:id="5">
    <w:p w14:paraId="1FEB7B03" w14:textId="77777777" w:rsidR="00725B7E" w:rsidRDefault="00725B7E" w:rsidP="00186518">
      <w:pPr>
        <w:pStyle w:val="Textonotapie"/>
        <w:spacing w:line="360" w:lineRule="auto"/>
        <w:jc w:val="both"/>
        <w:rPr>
          <w:rFonts w:cs="Arial"/>
          <w:sz w:val="22"/>
          <w:szCs w:val="22"/>
          <w:lang w:val="es-ES"/>
        </w:rPr>
      </w:pPr>
      <w:r>
        <w:rPr>
          <w:rStyle w:val="Refdenotaalpie"/>
          <w:rFonts w:cs="Arial"/>
          <w:sz w:val="22"/>
          <w:szCs w:val="22"/>
        </w:rPr>
        <w:footnoteRef/>
      </w:r>
      <w:r>
        <w:rPr>
          <w:rFonts w:cs="Arial"/>
          <w:sz w:val="22"/>
          <w:szCs w:val="22"/>
        </w:rPr>
        <w:t xml:space="preserve"> </w:t>
      </w:r>
      <w:r>
        <w:rPr>
          <w:rFonts w:cs="Arial"/>
          <w:sz w:val="22"/>
          <w:szCs w:val="22"/>
          <w:lang w:val="es-ES"/>
        </w:rPr>
        <w:t>Nino, obra citada, páginas 295 y 296.</w:t>
      </w:r>
    </w:p>
  </w:footnote>
  <w:footnote w:id="6">
    <w:p w14:paraId="27DAE201" w14:textId="77777777" w:rsidR="00725B7E" w:rsidRDefault="00725B7E" w:rsidP="00186518">
      <w:pPr>
        <w:pStyle w:val="Textonotapie"/>
        <w:spacing w:line="360" w:lineRule="auto"/>
        <w:jc w:val="both"/>
        <w:rPr>
          <w:rFonts w:cs="Arial"/>
          <w:sz w:val="22"/>
          <w:szCs w:val="22"/>
          <w:lang w:val="es-ES"/>
        </w:rPr>
      </w:pPr>
      <w:r>
        <w:rPr>
          <w:rStyle w:val="Refdenotaalpie"/>
          <w:rFonts w:cs="Arial"/>
          <w:sz w:val="22"/>
          <w:szCs w:val="22"/>
        </w:rPr>
        <w:footnoteRef/>
      </w:r>
      <w:r>
        <w:rPr>
          <w:rFonts w:cs="Arial"/>
          <w:sz w:val="22"/>
          <w:szCs w:val="22"/>
        </w:rPr>
        <w:t xml:space="preserve"> </w:t>
      </w:r>
      <w:r>
        <w:rPr>
          <w:rFonts w:cs="Arial"/>
          <w:sz w:val="22"/>
          <w:szCs w:val="22"/>
          <w:lang w:val="es-ES"/>
        </w:rPr>
        <w:t>Rabbi-Baldi Cabanillas, Renato. Teoría del Derecho. Buenos Aires, Editorial Ábaco de Rodolfo Depalma, 2008, página 241.</w:t>
      </w:r>
    </w:p>
  </w:footnote>
  <w:footnote w:id="7">
    <w:p w14:paraId="131D17E2" w14:textId="77777777" w:rsidR="00725B7E" w:rsidRDefault="00725B7E" w:rsidP="00186518">
      <w:pPr>
        <w:pStyle w:val="Textonotapie"/>
        <w:spacing w:line="360" w:lineRule="auto"/>
        <w:jc w:val="both"/>
        <w:rPr>
          <w:rFonts w:cs="Arial"/>
          <w:sz w:val="22"/>
          <w:szCs w:val="22"/>
          <w:lang w:val="es-ES"/>
        </w:rPr>
      </w:pPr>
      <w:r>
        <w:rPr>
          <w:rStyle w:val="Refdenotaalpie"/>
          <w:rFonts w:cs="Arial"/>
          <w:sz w:val="22"/>
          <w:szCs w:val="22"/>
        </w:rPr>
        <w:footnoteRef/>
      </w:r>
      <w:r>
        <w:rPr>
          <w:rFonts w:cs="Arial"/>
          <w:sz w:val="22"/>
          <w:szCs w:val="22"/>
        </w:rPr>
        <w:t xml:space="preserve"> </w:t>
      </w:r>
      <w:r>
        <w:rPr>
          <w:rFonts w:cs="Arial"/>
          <w:sz w:val="22"/>
          <w:szCs w:val="22"/>
          <w:lang w:val="es-ES"/>
        </w:rPr>
        <w:t>Rabbi Baldi Cabanillas, obra citada, páginas 241 y 242.</w:t>
      </w:r>
    </w:p>
  </w:footnote>
  <w:footnote w:id="8">
    <w:p w14:paraId="5E29F292" w14:textId="77777777" w:rsidR="00725B7E" w:rsidRDefault="00725B7E" w:rsidP="00186518">
      <w:pPr>
        <w:pStyle w:val="Textonotapie"/>
        <w:rPr>
          <w:lang w:val="es-ES"/>
        </w:rPr>
      </w:pPr>
      <w:r>
        <w:rPr>
          <w:rStyle w:val="Refdenotaalpie"/>
        </w:rPr>
        <w:footnoteRef/>
      </w:r>
      <w:r>
        <w:t xml:space="preserve"> </w:t>
      </w:r>
      <w:r>
        <w:rPr>
          <w:rFonts w:cs="Arial"/>
          <w:sz w:val="22"/>
        </w:rPr>
        <w:t xml:space="preserve">Flores; María Sandra. Interpretación constitucional. Córdoba, Editorial Mediterránea, 2006, página 15. </w:t>
      </w:r>
    </w:p>
  </w:footnote>
  <w:footnote w:id="9">
    <w:p w14:paraId="0A4BB118"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Ferrajoli, Luigi. Derecho y razón. Teoría del garantismo penal. Prólogo de Norberto Bobbio. Madrid, Editorial Trotta, 1995, página 542.</w:t>
      </w:r>
    </w:p>
  </w:footnote>
  <w:footnote w:id="10">
    <w:p w14:paraId="14D5A855" w14:textId="77777777" w:rsidR="00725B7E" w:rsidRDefault="00725B7E" w:rsidP="00186518">
      <w:pPr>
        <w:pStyle w:val="Textonotapie"/>
        <w:rPr>
          <w:rFonts w:cs="Arial"/>
          <w:sz w:val="22"/>
          <w:lang w:val="es-ES"/>
        </w:rPr>
      </w:pPr>
      <w:r>
        <w:rPr>
          <w:rStyle w:val="Refdenotaalpie"/>
          <w:rFonts w:cs="Arial"/>
          <w:sz w:val="22"/>
        </w:rPr>
        <w:footnoteRef/>
      </w:r>
      <w:r>
        <w:rPr>
          <w:rFonts w:cs="Arial"/>
          <w:sz w:val="22"/>
          <w:lang w:val="en-US"/>
        </w:rPr>
        <w:t xml:space="preserve"> Hamilton, Alexander; Madison, James; Jay, John. </w:t>
      </w:r>
      <w:r>
        <w:rPr>
          <w:rFonts w:cs="Arial"/>
          <w:sz w:val="22"/>
          <w:lang w:val="es-ES"/>
        </w:rPr>
        <w:t xml:space="preserve">El Federalista. Segunda edición. Tercera reimpresión. México, Fondo de Cultura Económica, 2010, parágrafo LXXVIII, página 333. </w:t>
      </w:r>
    </w:p>
  </w:footnote>
  <w:footnote w:id="11">
    <w:p w14:paraId="63A78AB6" w14:textId="77777777" w:rsidR="00725B7E" w:rsidRDefault="00725B7E" w:rsidP="00186518">
      <w:pPr>
        <w:pStyle w:val="Textonotapie"/>
        <w:spacing w:line="360" w:lineRule="auto"/>
        <w:jc w:val="both"/>
        <w:rPr>
          <w:rFonts w:cs="Arial"/>
          <w:sz w:val="22"/>
          <w:szCs w:val="22"/>
          <w:lang w:val="es-ES"/>
        </w:rPr>
      </w:pPr>
      <w:r>
        <w:rPr>
          <w:rStyle w:val="Refdenotaalpie"/>
          <w:rFonts w:cs="Arial"/>
          <w:sz w:val="22"/>
          <w:szCs w:val="22"/>
        </w:rPr>
        <w:footnoteRef/>
      </w:r>
      <w:r>
        <w:rPr>
          <w:rFonts w:cs="Arial"/>
          <w:sz w:val="22"/>
          <w:szCs w:val="22"/>
        </w:rPr>
        <w:t xml:space="preserve"> </w:t>
      </w:r>
      <w:r>
        <w:rPr>
          <w:rFonts w:cs="Arial"/>
          <w:sz w:val="22"/>
          <w:szCs w:val="22"/>
          <w:lang w:val="es-ES"/>
        </w:rPr>
        <w:t>Linares Quintana, Segundo V. Tratado de interpretación constitucional. Homenaje a Karl Loewenstein. Con la colaboración de Antonio Castagno. Segunda edición corregida y aumentada. Buenos Aires, Abeledo Perrot, 2007, páginas 83 y 84.</w:t>
      </w:r>
    </w:p>
  </w:footnote>
  <w:footnote w:id="12">
    <w:p w14:paraId="2D814D0C" w14:textId="77777777" w:rsidR="00725B7E" w:rsidRDefault="00725B7E" w:rsidP="00186518">
      <w:pPr>
        <w:pStyle w:val="Textonotapie"/>
        <w:spacing w:line="360" w:lineRule="auto"/>
        <w:jc w:val="both"/>
        <w:rPr>
          <w:rFonts w:cs="Arial"/>
          <w:sz w:val="22"/>
          <w:szCs w:val="22"/>
          <w:lang w:val="es-ES"/>
        </w:rPr>
      </w:pPr>
      <w:r>
        <w:rPr>
          <w:rStyle w:val="Refdenotaalpie"/>
          <w:rFonts w:cs="Arial"/>
          <w:sz w:val="22"/>
          <w:szCs w:val="22"/>
        </w:rPr>
        <w:footnoteRef/>
      </w:r>
      <w:r>
        <w:rPr>
          <w:rFonts w:cs="Arial"/>
          <w:sz w:val="22"/>
          <w:szCs w:val="22"/>
        </w:rPr>
        <w:t xml:space="preserve"> </w:t>
      </w:r>
      <w:r>
        <w:rPr>
          <w:rFonts w:cs="Arial"/>
          <w:sz w:val="22"/>
          <w:szCs w:val="22"/>
          <w:lang w:val="es-ES"/>
        </w:rPr>
        <w:t>Linares Quintana, obra citada, página 84.</w:t>
      </w:r>
    </w:p>
  </w:footnote>
  <w:footnote w:id="13">
    <w:p w14:paraId="54759289" w14:textId="77777777" w:rsidR="00725B7E" w:rsidRDefault="00725B7E" w:rsidP="00186518">
      <w:pPr>
        <w:pStyle w:val="Textonotapie"/>
        <w:spacing w:line="360" w:lineRule="auto"/>
        <w:jc w:val="both"/>
        <w:rPr>
          <w:rFonts w:cs="Arial"/>
          <w:sz w:val="22"/>
          <w:szCs w:val="22"/>
          <w:lang w:val="es-ES"/>
        </w:rPr>
      </w:pPr>
      <w:r>
        <w:rPr>
          <w:rStyle w:val="Refdenotaalpie"/>
          <w:rFonts w:cs="Arial"/>
          <w:sz w:val="22"/>
          <w:szCs w:val="22"/>
        </w:rPr>
        <w:footnoteRef/>
      </w:r>
      <w:r>
        <w:rPr>
          <w:rFonts w:cs="Arial"/>
          <w:sz w:val="22"/>
          <w:szCs w:val="22"/>
        </w:rPr>
        <w:t xml:space="preserve"> </w:t>
      </w:r>
      <w:r>
        <w:rPr>
          <w:rFonts w:cs="Arial"/>
          <w:sz w:val="22"/>
          <w:szCs w:val="22"/>
          <w:lang w:val="es-ES"/>
        </w:rPr>
        <w:t>Linares Quintana, obra citada, página 85.</w:t>
      </w:r>
    </w:p>
  </w:footnote>
  <w:footnote w:id="14">
    <w:p w14:paraId="3D836F0E" w14:textId="77777777" w:rsidR="00725B7E" w:rsidRDefault="00725B7E" w:rsidP="00186518">
      <w:pPr>
        <w:pStyle w:val="Textonotapie"/>
        <w:spacing w:line="360" w:lineRule="auto"/>
        <w:jc w:val="both"/>
        <w:rPr>
          <w:rFonts w:cs="Arial"/>
          <w:sz w:val="22"/>
          <w:szCs w:val="22"/>
          <w:lang w:val="es-ES"/>
        </w:rPr>
      </w:pPr>
      <w:r>
        <w:rPr>
          <w:rStyle w:val="Refdenotaalpie"/>
          <w:rFonts w:cs="Arial"/>
          <w:sz w:val="22"/>
          <w:szCs w:val="22"/>
        </w:rPr>
        <w:footnoteRef/>
      </w:r>
      <w:r>
        <w:rPr>
          <w:rFonts w:cs="Arial"/>
          <w:sz w:val="22"/>
          <w:szCs w:val="22"/>
        </w:rPr>
        <w:t xml:space="preserve"> </w:t>
      </w:r>
      <w:r>
        <w:rPr>
          <w:rFonts w:cs="Arial"/>
          <w:sz w:val="22"/>
          <w:szCs w:val="22"/>
          <w:lang w:val="es-ES"/>
        </w:rPr>
        <w:t>Flores, Sandra, obra citada, página 37.</w:t>
      </w:r>
    </w:p>
  </w:footnote>
  <w:footnote w:id="15">
    <w:p w14:paraId="76484B64" w14:textId="77777777" w:rsidR="00725B7E" w:rsidRDefault="00725B7E" w:rsidP="00186518">
      <w:pPr>
        <w:pStyle w:val="Textonotapie"/>
        <w:spacing w:line="360" w:lineRule="auto"/>
        <w:jc w:val="both"/>
        <w:rPr>
          <w:rFonts w:cs="Arial"/>
          <w:sz w:val="22"/>
          <w:szCs w:val="22"/>
          <w:lang w:val="es-ES"/>
        </w:rPr>
      </w:pPr>
      <w:r>
        <w:rPr>
          <w:rStyle w:val="Refdenotaalpie"/>
          <w:rFonts w:cs="Arial"/>
          <w:sz w:val="22"/>
          <w:szCs w:val="22"/>
        </w:rPr>
        <w:footnoteRef/>
      </w:r>
      <w:r>
        <w:rPr>
          <w:rFonts w:cs="Arial"/>
          <w:sz w:val="22"/>
          <w:szCs w:val="22"/>
        </w:rPr>
        <w:t xml:space="preserve"> </w:t>
      </w:r>
      <w:r>
        <w:rPr>
          <w:rFonts w:cs="Arial"/>
          <w:sz w:val="22"/>
          <w:szCs w:val="22"/>
          <w:lang w:val="es-ES"/>
        </w:rPr>
        <w:t>Flores, Sandra, obra citada, página 39.</w:t>
      </w:r>
    </w:p>
  </w:footnote>
  <w:footnote w:id="16">
    <w:p w14:paraId="4E813D54"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Hesse, Honrad. Escritos de Derecho Constitucional. Madrid, Centro de Estudios Constitucionales, 1992, página 34. </w:t>
      </w:r>
    </w:p>
  </w:footnote>
  <w:footnote w:id="17">
    <w:p w14:paraId="4F1A9F0C"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Hesse, obra citada, página 35.</w:t>
      </w:r>
    </w:p>
  </w:footnote>
  <w:footnote w:id="18">
    <w:p w14:paraId="4B547FE7"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Hesse, obra citada, página 40.</w:t>
      </w:r>
    </w:p>
  </w:footnote>
  <w:footnote w:id="19">
    <w:p w14:paraId="03BB9404" w14:textId="77777777" w:rsidR="00725B7E" w:rsidRDefault="00725B7E" w:rsidP="00186518">
      <w:pPr>
        <w:pStyle w:val="Textonotapie"/>
        <w:spacing w:line="360" w:lineRule="auto"/>
        <w:jc w:val="both"/>
        <w:rPr>
          <w:rFonts w:cs="Arial"/>
          <w:sz w:val="22"/>
          <w:szCs w:val="22"/>
        </w:rPr>
      </w:pPr>
      <w:r>
        <w:rPr>
          <w:rStyle w:val="Refdenotaalpie"/>
          <w:rFonts w:cs="Arial"/>
          <w:sz w:val="22"/>
          <w:szCs w:val="22"/>
        </w:rPr>
        <w:footnoteRef/>
      </w:r>
      <w:r>
        <w:rPr>
          <w:rFonts w:cs="Arial"/>
          <w:sz w:val="22"/>
          <w:szCs w:val="22"/>
        </w:rPr>
        <w:t xml:space="preserve"> Dalla Via, Alberto Ricardo.  Manual de Derecho Constitucional. Segunda Edición. Buenos Aires, Abeledo Perrot, 2009, página 497. </w:t>
      </w:r>
    </w:p>
  </w:footnote>
  <w:footnote w:id="20">
    <w:p w14:paraId="4E2A21CA" w14:textId="77777777" w:rsidR="00725B7E" w:rsidRDefault="00725B7E" w:rsidP="00186518">
      <w:pPr>
        <w:pStyle w:val="Textonotapie"/>
        <w:spacing w:line="360" w:lineRule="auto"/>
        <w:jc w:val="both"/>
        <w:rPr>
          <w:rFonts w:cs="Arial"/>
          <w:sz w:val="22"/>
          <w:szCs w:val="22"/>
        </w:rPr>
      </w:pPr>
      <w:r>
        <w:rPr>
          <w:rStyle w:val="Refdenotaalpie"/>
          <w:rFonts w:cs="Arial"/>
          <w:sz w:val="22"/>
          <w:szCs w:val="22"/>
        </w:rPr>
        <w:footnoteRef/>
      </w:r>
      <w:r>
        <w:rPr>
          <w:rFonts w:cs="Arial"/>
          <w:sz w:val="22"/>
          <w:szCs w:val="22"/>
        </w:rPr>
        <w:t xml:space="preserve"> Dalla Via, obra citada, página 497</w:t>
      </w:r>
    </w:p>
  </w:footnote>
  <w:footnote w:id="21">
    <w:p w14:paraId="415F0F09" w14:textId="77777777" w:rsidR="00725B7E" w:rsidRDefault="00725B7E" w:rsidP="00186518">
      <w:pPr>
        <w:pStyle w:val="Textonotapie"/>
        <w:rPr>
          <w:rFonts w:cs="Arial"/>
          <w:sz w:val="22"/>
          <w:lang w:val="es-ES"/>
        </w:rPr>
      </w:pPr>
      <w:r>
        <w:rPr>
          <w:rStyle w:val="Refdenotaalpie"/>
          <w:rFonts w:cs="Arial"/>
          <w:sz w:val="22"/>
        </w:rPr>
        <w:footnoteRef/>
      </w:r>
      <w:r>
        <w:rPr>
          <w:rFonts w:cs="Arial"/>
          <w:sz w:val="22"/>
        </w:rPr>
        <w:t xml:space="preserve"> Dalla Via, Alberto Ricardo. Instituciones de Derecho Político y Constitucional. Teoría del Estado y de la Constitución. Prólogo de Natalio Botana. </w:t>
      </w:r>
      <w:r>
        <w:rPr>
          <w:rFonts w:cs="Arial"/>
          <w:sz w:val="22"/>
          <w:lang w:val="es-ES"/>
        </w:rPr>
        <w:t>Tomo I A. Buenos Aires, Abeledo Perrot, 2013, página 311.</w:t>
      </w:r>
    </w:p>
  </w:footnote>
  <w:footnote w:id="22">
    <w:p w14:paraId="76D09F23"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Rosatti, Horacio. Tratado de Derecho Constitucional. Buenos Aires, Rubinzal Culzoni, 2010, Tomo I, página 156.</w:t>
      </w:r>
    </w:p>
  </w:footnote>
  <w:footnote w:id="23">
    <w:p w14:paraId="3C75FDDF" w14:textId="77777777" w:rsidR="00725B7E" w:rsidRDefault="00725B7E" w:rsidP="00186518">
      <w:pPr>
        <w:pStyle w:val="Textonotapie"/>
        <w:rPr>
          <w:rFonts w:cs="Arial"/>
          <w:sz w:val="22"/>
          <w:szCs w:val="22"/>
        </w:rPr>
      </w:pPr>
      <w:r>
        <w:rPr>
          <w:rStyle w:val="Refdenotaalpie"/>
          <w:rFonts w:cs="Arial"/>
          <w:sz w:val="22"/>
          <w:szCs w:val="22"/>
        </w:rPr>
        <w:footnoteRef/>
      </w:r>
      <w:r>
        <w:rPr>
          <w:rFonts w:cs="Arial"/>
          <w:sz w:val="22"/>
          <w:szCs w:val="22"/>
        </w:rPr>
        <w:t xml:space="preserve"> Flores, Sandra, obra citada, páginas 416 y 417.</w:t>
      </w:r>
    </w:p>
  </w:footnote>
  <w:footnote w:id="24">
    <w:p w14:paraId="15992D1B" w14:textId="77777777" w:rsidR="00725B7E" w:rsidRDefault="00725B7E" w:rsidP="00186518">
      <w:pPr>
        <w:pStyle w:val="Textonotapie"/>
        <w:rPr>
          <w:rFonts w:cs="Arial"/>
          <w:sz w:val="22"/>
          <w:szCs w:val="22"/>
        </w:rPr>
      </w:pPr>
      <w:r>
        <w:rPr>
          <w:rStyle w:val="Refdenotaalpie"/>
          <w:rFonts w:cs="Arial"/>
          <w:sz w:val="22"/>
          <w:szCs w:val="22"/>
        </w:rPr>
        <w:footnoteRef/>
      </w:r>
      <w:r>
        <w:rPr>
          <w:rFonts w:cs="Arial"/>
          <w:sz w:val="22"/>
          <w:szCs w:val="22"/>
        </w:rPr>
        <w:t xml:space="preserve"> Ibarlucía, Emilio A. El derecho constitucional a la reparación. Buenos Aires, Editorial Ábaco de Rodolfo Depalma, 2013, páginas 103 y siguientes. </w:t>
      </w:r>
    </w:p>
  </w:footnote>
  <w:footnote w:id="25">
    <w:p w14:paraId="30641729" w14:textId="77777777" w:rsidR="00725B7E" w:rsidRDefault="00725B7E" w:rsidP="00186518">
      <w:pPr>
        <w:pStyle w:val="Textonotapie"/>
        <w:rPr>
          <w:rFonts w:cs="Arial"/>
          <w:sz w:val="22"/>
          <w:szCs w:val="22"/>
        </w:rPr>
      </w:pPr>
      <w:r>
        <w:rPr>
          <w:rStyle w:val="Refdenotaalpie"/>
          <w:rFonts w:cs="Arial"/>
          <w:sz w:val="22"/>
          <w:szCs w:val="22"/>
        </w:rPr>
        <w:footnoteRef/>
      </w:r>
      <w:r>
        <w:rPr>
          <w:rFonts w:cs="Arial"/>
          <w:sz w:val="22"/>
          <w:szCs w:val="22"/>
        </w:rPr>
        <w:t xml:space="preserve"> Vigo, Rodolfo. Los principios jurídicos. Perspectiva jurisprudencial. Buenos Aires, Depalma, 2000, páginas 223 y 224. </w:t>
      </w:r>
    </w:p>
  </w:footnote>
  <w:footnote w:id="26">
    <w:p w14:paraId="0AD95C23"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Holländer, Pavel. Interpretación de las normas jurídicas constitucionales: un rompecabezas metodológico. En: Cardinaux, Nancy (et. al.). Las razones de la producción del derecho: argumentación constitucional, argumentación parlamentaria y argumentación en la selección de los jueces. Coordinadores: Nancy Cardinaux, María Laura Clérico y Aníbal D’Auria. Buenos Aires, Facultad de Derecho de la Universidad de Buenos Aires, 2006, página 86. </w:t>
      </w:r>
    </w:p>
  </w:footnote>
  <w:footnote w:id="27">
    <w:p w14:paraId="4FB04ED4"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Sola, Juan Vicente. Control judicial de constitucionalidad. Buenos Aires, Abeledo Perrot, 2001, páginas 72 y 73. </w:t>
      </w:r>
    </w:p>
  </w:footnote>
  <w:footnote w:id="28">
    <w:p w14:paraId="39CD09FC" w14:textId="77777777" w:rsidR="00725B7E" w:rsidRDefault="00725B7E" w:rsidP="00186518">
      <w:pPr>
        <w:pStyle w:val="Textonotapie"/>
        <w:rPr>
          <w:rFonts w:cs="Arial"/>
          <w:sz w:val="22"/>
        </w:rPr>
      </w:pPr>
      <w:r>
        <w:rPr>
          <w:rStyle w:val="Refdenotaalpie"/>
          <w:rFonts w:cs="Arial"/>
          <w:sz w:val="22"/>
        </w:rPr>
        <w:footnoteRef/>
      </w:r>
      <w:r>
        <w:rPr>
          <w:rFonts w:cs="Arial"/>
          <w:sz w:val="22"/>
          <w:lang w:val="en-US"/>
        </w:rPr>
        <w:t xml:space="preserve"> </w:t>
      </w:r>
      <w:proofErr w:type="spellStart"/>
      <w:r>
        <w:rPr>
          <w:rFonts w:cs="Arial"/>
          <w:sz w:val="22"/>
          <w:lang w:val="en-US"/>
        </w:rPr>
        <w:t>Sabsay</w:t>
      </w:r>
      <w:proofErr w:type="spellEnd"/>
      <w:r>
        <w:rPr>
          <w:rFonts w:cs="Arial"/>
          <w:sz w:val="22"/>
          <w:lang w:val="en-US"/>
        </w:rPr>
        <w:t xml:space="preserve">, Daniel Alberto. </w:t>
      </w:r>
      <w:r>
        <w:rPr>
          <w:rFonts w:cs="Arial"/>
          <w:sz w:val="22"/>
        </w:rPr>
        <w:t xml:space="preserve">Manual de Derecho Constitucional. Buenos Aires, La Ley, 2011, página 26. </w:t>
      </w:r>
    </w:p>
  </w:footnote>
  <w:footnote w:id="29">
    <w:p w14:paraId="0A04E2C4"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Sabsay, obra citada, página 26. </w:t>
      </w:r>
    </w:p>
  </w:footnote>
  <w:footnote w:id="30">
    <w:p w14:paraId="787C20FD"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Romero, César Enrique. La Corte Suprema y la interpretación constitucional (Meditación Centenaria 1863-1963). Buenos Aires, La Ley, Tomo 110, página 1124. </w:t>
      </w:r>
    </w:p>
  </w:footnote>
  <w:footnote w:id="31">
    <w:p w14:paraId="4D0A750F"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Jiménez, Eduardo Pablo. Derecho Constitucional Argentino. Buenos Aires, Ediar, 2000, tomo I, capítulo XI, página 11. </w:t>
      </w:r>
    </w:p>
  </w:footnote>
  <w:footnote w:id="32">
    <w:p w14:paraId="253990B3"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Carmona Tinoco, Jorge Ulises. La interpretación judicial constitucional. Prólogo de Jorge Carpizo. México, Instituto de Investigaciones Jurídicas. Comisión Nacional de Derechos Humanos, 1996, página 121. </w:t>
      </w:r>
    </w:p>
  </w:footnote>
  <w:footnote w:id="33">
    <w:p w14:paraId="2C70EB1C"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Carmona Tinoco, obra citada, páginas 121 y 122.</w:t>
      </w:r>
    </w:p>
  </w:footnote>
  <w:footnote w:id="34">
    <w:p w14:paraId="02F860F9"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Carmona Tinoco, obra citada, página 124. </w:t>
      </w:r>
    </w:p>
  </w:footnote>
  <w:footnote w:id="35">
    <w:p w14:paraId="63E131C0"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Linares Quintana, obra citada, págs. 341 y siguientes. </w:t>
      </w:r>
    </w:p>
  </w:footnote>
  <w:footnote w:id="36">
    <w:p w14:paraId="513E8517"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“Botella, Eduardo”, 1949. Fallos 214:436.</w:t>
      </w:r>
    </w:p>
  </w:footnote>
  <w:footnote w:id="37">
    <w:p w14:paraId="6684A43C"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“Sardi, Carlos y otros c/ Provincia de Mendoza”, 1934. Fallos, 171:79.</w:t>
      </w:r>
    </w:p>
  </w:footnote>
  <w:footnote w:id="38">
    <w:p w14:paraId="099D8CAF" w14:textId="47B8CA81" w:rsidR="00725B7E" w:rsidRDefault="00725B7E" w:rsidP="00186518">
      <w:pPr>
        <w:pStyle w:val="Textonotapie"/>
        <w:rPr>
          <w:rFonts w:cs="Arial"/>
          <w:sz w:val="22"/>
        </w:rPr>
      </w:pPr>
      <w:r>
        <w:rPr>
          <w:rStyle w:val="Refdenotaalpie"/>
          <w:rFonts w:cs="Arial"/>
          <w:sz w:val="22"/>
        </w:rPr>
        <w:footnoteRef/>
      </w:r>
      <w:r>
        <w:rPr>
          <w:rFonts w:cs="Arial"/>
          <w:sz w:val="22"/>
        </w:rPr>
        <w:t xml:space="preserve"> “Marwick S.A. c/ Provincia de Misiones”, 1985. Fallos, 307:360.</w:t>
      </w:r>
    </w:p>
  </w:footnote>
  <w:footnote w:id="39">
    <w:p w14:paraId="7C2AC4DA" w14:textId="77777777" w:rsidR="00725B7E" w:rsidRDefault="00725B7E" w:rsidP="00186518">
      <w:pPr>
        <w:pStyle w:val="Textonotapie"/>
        <w:rPr>
          <w:rFonts w:cs="Arial"/>
          <w:sz w:val="22"/>
          <w:szCs w:val="22"/>
        </w:rPr>
      </w:pPr>
      <w:r>
        <w:rPr>
          <w:rStyle w:val="Refdenotaalpie"/>
          <w:rFonts w:cs="Arial"/>
          <w:sz w:val="22"/>
          <w:szCs w:val="22"/>
        </w:rPr>
        <w:footnoteRef/>
      </w:r>
      <w:r>
        <w:rPr>
          <w:rFonts w:cs="Arial"/>
          <w:sz w:val="22"/>
          <w:szCs w:val="22"/>
        </w:rPr>
        <w:t xml:space="preserve"> Bidart Campos, Germán José. Tratado Elemental de Derecho Constitucional Argentino. Nueva edición ampliada y actualizada a 1999-2000, Tomo I-A, página 394.</w:t>
      </w:r>
    </w:p>
  </w:footnote>
  <w:footnote w:id="40">
    <w:p w14:paraId="0FCED0A4" w14:textId="09B47400" w:rsidR="00725B7E" w:rsidRDefault="00725B7E" w:rsidP="00186518">
      <w:pPr>
        <w:pStyle w:val="Textonotapie"/>
        <w:rPr>
          <w:rFonts w:cs="Arial"/>
          <w:sz w:val="22"/>
          <w:szCs w:val="22"/>
        </w:rPr>
      </w:pPr>
      <w:r>
        <w:rPr>
          <w:rStyle w:val="Refdenotaalpie"/>
          <w:rFonts w:cs="Arial"/>
          <w:sz w:val="22"/>
          <w:szCs w:val="22"/>
        </w:rPr>
        <w:footnoteRef/>
      </w:r>
      <w:r>
        <w:rPr>
          <w:rFonts w:cs="Arial"/>
          <w:sz w:val="22"/>
          <w:szCs w:val="22"/>
        </w:rPr>
        <w:t xml:space="preserve"> Sagüés, Néstor Pedro. Derecho Constitucional. Buenos Aires, Astrea, 2007, páginas 174 a 179.</w:t>
      </w:r>
    </w:p>
  </w:footnote>
  <w:footnote w:id="41">
    <w:p w14:paraId="0C26D75B" w14:textId="77777777" w:rsidR="00725B7E" w:rsidRDefault="00725B7E" w:rsidP="00186518">
      <w:pPr>
        <w:pStyle w:val="Textonotapie"/>
        <w:rPr>
          <w:rFonts w:cs="Arial"/>
          <w:sz w:val="22"/>
          <w:szCs w:val="22"/>
        </w:rPr>
      </w:pPr>
      <w:r>
        <w:rPr>
          <w:rStyle w:val="Refdenotaalpie"/>
          <w:rFonts w:cs="Arial"/>
          <w:sz w:val="22"/>
          <w:szCs w:val="22"/>
        </w:rPr>
        <w:footnoteRef/>
      </w:r>
      <w:r>
        <w:rPr>
          <w:rFonts w:cs="Arial"/>
          <w:sz w:val="22"/>
          <w:szCs w:val="22"/>
        </w:rPr>
        <w:t xml:space="preserve"> Conforme lo estableció la Corte en el caso “Mill de Pereyra” (Fallos: 324:3219).</w:t>
      </w:r>
    </w:p>
  </w:footnote>
  <w:footnote w:id="42">
    <w:p w14:paraId="4920853E"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Bidart Campos define al control de razonabilidad como la noción de que para que una ley sea constitucional, debe poseer un cierto contenido de justicia. Ese contenido de justicia es la razonabilidad. Y frente a su ausencia, hay arbitrariedad. Confr. Bidart Campos, obra citada, página 805.</w:t>
      </w:r>
    </w:p>
  </w:footnote>
  <w:footnote w:id="43">
    <w:p w14:paraId="7FA4646D"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Gelli, María Angélica. Constitución de la Nación Argentina. Comentada y concordada. Tercera Edición ampliada y actualizada. Buenos Aires, La Ley, 2008, página 327. </w:t>
      </w:r>
    </w:p>
  </w:footnote>
  <w:footnote w:id="44">
    <w:p w14:paraId="60AD9FAF"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Bidart Campos, obra citada, pagina 805.</w:t>
      </w:r>
    </w:p>
  </w:footnote>
  <w:footnote w:id="45">
    <w:p w14:paraId="7FD3E09A"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Bidart Campos, obra citada, página 806.</w:t>
      </w:r>
    </w:p>
  </w:footnote>
  <w:footnote w:id="46">
    <w:p w14:paraId="7E5C6096"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Linares, Juan Francisco. Razonabilidad de las leyes. Segunda edición actualizada. Buenos Aires, Astrea, 1970, página 108.  </w:t>
      </w:r>
    </w:p>
  </w:footnote>
  <w:footnote w:id="47">
    <w:p w14:paraId="38F26962"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Guibourg, Ricardo A. Pensar las normas. Buenos Aires, Eudeba, 1999, páginas 227 y 228.</w:t>
      </w:r>
    </w:p>
  </w:footnote>
  <w:footnote w:id="48">
    <w:p w14:paraId="46C19710"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Dalla Via, Alberto Ricardo. Las leyes reglamentarias de la Constitución Nacional. En: Dalla Via, Alberto Ricardo; García Lema, Alberto Manuel (Directores). Nuevos Derechos y Garantías. Santa Fe, Rubinzal Culzoni, 2008, Tomo I, página 40. </w:t>
      </w:r>
    </w:p>
  </w:footnote>
  <w:footnote w:id="49">
    <w:p w14:paraId="0BCD1F13"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Dalla Via. Instituciones..., obra citada, página 311.</w:t>
      </w:r>
    </w:p>
  </w:footnote>
  <w:footnote w:id="50">
    <w:p w14:paraId="572DE2B5"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Dalla Via.  Las leyes..., obra citada, página 41. </w:t>
      </w:r>
    </w:p>
  </w:footnote>
  <w:footnote w:id="51">
    <w:p w14:paraId="165F2C8C"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Dalla Via. Las Leyes..., obra citada, páginas 45 y 46. </w:t>
      </w:r>
    </w:p>
  </w:footnote>
  <w:footnote w:id="52">
    <w:p w14:paraId="5C3CB4D3" w14:textId="77777777" w:rsidR="00725B7E" w:rsidRDefault="00725B7E" w:rsidP="00186518">
      <w:pPr>
        <w:pStyle w:val="Textonotapie"/>
        <w:rPr>
          <w:rFonts w:cs="Arial"/>
          <w:sz w:val="22"/>
          <w:szCs w:val="22"/>
        </w:rPr>
      </w:pPr>
      <w:r>
        <w:rPr>
          <w:rStyle w:val="Refdenotaalpie"/>
          <w:rFonts w:cs="Arial"/>
          <w:sz w:val="22"/>
          <w:szCs w:val="22"/>
        </w:rPr>
        <w:footnoteRef/>
      </w:r>
      <w:r>
        <w:rPr>
          <w:rFonts w:cs="Arial"/>
          <w:sz w:val="22"/>
          <w:szCs w:val="22"/>
        </w:rPr>
        <w:t xml:space="preserve"> Badeni, Gregorio. Manual de Derecho Constitucional. Buenos Aires, La Ley, 2011, página 67.</w:t>
      </w:r>
    </w:p>
    <w:p w14:paraId="1FF1E4D0" w14:textId="77777777" w:rsidR="00725B7E" w:rsidRDefault="00725B7E" w:rsidP="00186518">
      <w:pPr>
        <w:pStyle w:val="Textonotapie"/>
        <w:rPr>
          <w:rFonts w:cs="Arial"/>
          <w:sz w:val="22"/>
          <w:szCs w:val="22"/>
        </w:rPr>
      </w:pPr>
    </w:p>
  </w:footnote>
  <w:footnote w:id="53">
    <w:p w14:paraId="1DE3B118" w14:textId="73A76193" w:rsidR="00725B7E" w:rsidRDefault="00725B7E" w:rsidP="00186518">
      <w:pPr>
        <w:pStyle w:val="Textonotapie"/>
        <w:rPr>
          <w:rFonts w:cs="Arial"/>
          <w:sz w:val="22"/>
        </w:rPr>
      </w:pPr>
      <w:r>
        <w:rPr>
          <w:rStyle w:val="Refdenotaalpie"/>
          <w:rFonts w:cs="Arial"/>
          <w:sz w:val="22"/>
        </w:rPr>
        <w:footnoteRef/>
      </w:r>
      <w:r>
        <w:rPr>
          <w:rFonts w:cs="Arial"/>
          <w:sz w:val="22"/>
        </w:rPr>
        <w:t xml:space="preserve"> Vernengo, Roberto J. La interpretación literal de la ley. Segunda edición ampliada. Buenos Aires, Abeledo Perrot, 1994, página 7. </w:t>
      </w:r>
    </w:p>
  </w:footnote>
  <w:footnote w:id="54">
    <w:p w14:paraId="430D9BAB" w14:textId="77777777" w:rsidR="00725B7E" w:rsidRDefault="00725B7E" w:rsidP="00186518">
      <w:pPr>
        <w:pStyle w:val="Textonotapie"/>
        <w:rPr>
          <w:rFonts w:cs="Arial"/>
          <w:sz w:val="22"/>
          <w:szCs w:val="22"/>
        </w:rPr>
      </w:pPr>
      <w:r>
        <w:rPr>
          <w:rStyle w:val="Refdenotaalpie"/>
          <w:rFonts w:cs="Arial"/>
          <w:sz w:val="22"/>
          <w:szCs w:val="22"/>
        </w:rPr>
        <w:footnoteRef/>
      </w:r>
      <w:r>
        <w:rPr>
          <w:rFonts w:cs="Arial"/>
          <w:sz w:val="22"/>
          <w:szCs w:val="22"/>
        </w:rPr>
        <w:t xml:space="preserve"> Badeni, obra citada, página 74. </w:t>
      </w:r>
    </w:p>
  </w:footnote>
  <w:footnote w:id="55">
    <w:p w14:paraId="7C19C091" w14:textId="77777777" w:rsidR="00725B7E" w:rsidRDefault="00725B7E" w:rsidP="00186518">
      <w:pPr>
        <w:pStyle w:val="Textonotapie"/>
        <w:rPr>
          <w:rFonts w:cs="Arial"/>
          <w:sz w:val="22"/>
          <w:szCs w:val="22"/>
        </w:rPr>
      </w:pPr>
      <w:r>
        <w:rPr>
          <w:rStyle w:val="Refdenotaalpie"/>
          <w:rFonts w:cs="Arial"/>
          <w:sz w:val="22"/>
          <w:szCs w:val="22"/>
        </w:rPr>
        <w:footnoteRef/>
      </w:r>
      <w:r>
        <w:rPr>
          <w:rFonts w:cs="Arial"/>
          <w:sz w:val="22"/>
          <w:szCs w:val="22"/>
        </w:rPr>
        <w:t xml:space="preserve"> Fallos, 310:1393.</w:t>
      </w:r>
    </w:p>
  </w:footnote>
  <w:footnote w:id="56">
    <w:p w14:paraId="02FD6587" w14:textId="77777777" w:rsidR="00725B7E" w:rsidRDefault="00725B7E" w:rsidP="00186518">
      <w:pPr>
        <w:pStyle w:val="Textonotapie"/>
        <w:rPr>
          <w:rFonts w:cs="Arial"/>
          <w:sz w:val="22"/>
          <w:szCs w:val="22"/>
        </w:rPr>
      </w:pPr>
      <w:r>
        <w:rPr>
          <w:rStyle w:val="Refdenotaalpie"/>
          <w:rFonts w:cs="Arial"/>
          <w:sz w:val="22"/>
          <w:szCs w:val="22"/>
        </w:rPr>
        <w:footnoteRef/>
      </w:r>
      <w:r>
        <w:rPr>
          <w:rFonts w:cs="Arial"/>
          <w:sz w:val="22"/>
          <w:szCs w:val="22"/>
        </w:rPr>
        <w:t xml:space="preserve"> Linares Quintana, obra citada, páginas 349 y 350.</w:t>
      </w:r>
    </w:p>
  </w:footnote>
  <w:footnote w:id="57">
    <w:p w14:paraId="4E2CA06B" w14:textId="77777777" w:rsidR="00725B7E" w:rsidRDefault="00725B7E" w:rsidP="00186518">
      <w:pPr>
        <w:pStyle w:val="Textonotapie"/>
        <w:spacing w:line="360" w:lineRule="auto"/>
        <w:jc w:val="both"/>
        <w:rPr>
          <w:rFonts w:cs="Arial"/>
          <w:sz w:val="22"/>
          <w:szCs w:val="22"/>
        </w:rPr>
      </w:pPr>
      <w:r>
        <w:rPr>
          <w:rStyle w:val="Refdenotaalpie"/>
          <w:rFonts w:cs="Arial"/>
          <w:sz w:val="22"/>
          <w:szCs w:val="22"/>
        </w:rPr>
        <w:footnoteRef/>
      </w:r>
      <w:r>
        <w:rPr>
          <w:rFonts w:cs="Arial"/>
          <w:sz w:val="22"/>
          <w:szCs w:val="22"/>
        </w:rPr>
        <w:t xml:space="preserve"> Zuleta Puceiro, obra citada, página 26.</w:t>
      </w:r>
    </w:p>
  </w:footnote>
  <w:footnote w:id="58">
    <w:p w14:paraId="21130171" w14:textId="77777777" w:rsidR="00725B7E" w:rsidRDefault="00725B7E" w:rsidP="00186518">
      <w:pPr>
        <w:pStyle w:val="Textonotapie"/>
        <w:spacing w:line="360" w:lineRule="auto"/>
        <w:jc w:val="both"/>
        <w:rPr>
          <w:rFonts w:cs="Arial"/>
          <w:sz w:val="22"/>
          <w:szCs w:val="22"/>
        </w:rPr>
      </w:pPr>
      <w:r>
        <w:rPr>
          <w:rStyle w:val="Refdenotaalpie"/>
          <w:rFonts w:cs="Arial"/>
          <w:sz w:val="22"/>
          <w:szCs w:val="22"/>
        </w:rPr>
        <w:footnoteRef/>
      </w:r>
      <w:r>
        <w:rPr>
          <w:rFonts w:cs="Arial"/>
          <w:sz w:val="22"/>
          <w:szCs w:val="22"/>
        </w:rPr>
        <w:t xml:space="preserve"> Zuleta Puceiro, obra citada, página 26.</w:t>
      </w:r>
    </w:p>
  </w:footnote>
  <w:footnote w:id="59">
    <w:p w14:paraId="712B0AFD" w14:textId="77777777" w:rsidR="00725B7E" w:rsidRDefault="00725B7E" w:rsidP="00186518">
      <w:pPr>
        <w:pStyle w:val="Textonotapie"/>
        <w:rPr>
          <w:rFonts w:cs="Arial"/>
          <w:sz w:val="22"/>
          <w:szCs w:val="22"/>
        </w:rPr>
      </w:pPr>
      <w:r>
        <w:rPr>
          <w:rStyle w:val="Refdenotaalpie"/>
          <w:rFonts w:cs="Arial"/>
          <w:sz w:val="22"/>
          <w:szCs w:val="22"/>
        </w:rPr>
        <w:footnoteRef/>
      </w:r>
      <w:r>
        <w:rPr>
          <w:rFonts w:cs="Arial"/>
          <w:sz w:val="22"/>
          <w:szCs w:val="22"/>
        </w:rPr>
        <w:t xml:space="preserve"> Zuleta Puceiro, obra citada, página 93.</w:t>
      </w:r>
    </w:p>
  </w:footnote>
  <w:footnote w:id="60">
    <w:p w14:paraId="1B517BEE" w14:textId="77777777" w:rsidR="00725B7E" w:rsidRDefault="00725B7E" w:rsidP="00186518">
      <w:pPr>
        <w:pStyle w:val="Textonotapie"/>
        <w:rPr>
          <w:rFonts w:cs="Arial"/>
          <w:sz w:val="22"/>
          <w:szCs w:val="22"/>
        </w:rPr>
      </w:pPr>
      <w:r>
        <w:rPr>
          <w:rStyle w:val="Refdenotaalpie"/>
          <w:rFonts w:cs="Arial"/>
          <w:sz w:val="22"/>
          <w:szCs w:val="22"/>
        </w:rPr>
        <w:footnoteRef/>
      </w:r>
      <w:r>
        <w:rPr>
          <w:rFonts w:cs="Arial"/>
          <w:sz w:val="22"/>
          <w:szCs w:val="22"/>
        </w:rPr>
        <w:t xml:space="preserve"> Zuleta Puceiro, obra citada, página 93.</w:t>
      </w:r>
    </w:p>
  </w:footnote>
  <w:footnote w:id="61">
    <w:p w14:paraId="200C2238" w14:textId="77777777" w:rsidR="00725B7E" w:rsidRDefault="00725B7E" w:rsidP="00186518">
      <w:pPr>
        <w:pStyle w:val="Textonotapie"/>
        <w:rPr>
          <w:rFonts w:cs="Arial"/>
          <w:sz w:val="22"/>
          <w:szCs w:val="22"/>
        </w:rPr>
      </w:pPr>
      <w:r>
        <w:rPr>
          <w:rStyle w:val="Refdenotaalpie"/>
          <w:rFonts w:cs="Arial"/>
          <w:sz w:val="22"/>
          <w:szCs w:val="22"/>
        </w:rPr>
        <w:footnoteRef/>
      </w:r>
      <w:r>
        <w:rPr>
          <w:rFonts w:cs="Arial"/>
          <w:sz w:val="22"/>
          <w:szCs w:val="22"/>
        </w:rPr>
        <w:t xml:space="preserve"> Zuleta Puceiro, obra citada, página 88.</w:t>
      </w:r>
    </w:p>
  </w:footnote>
  <w:footnote w:id="62">
    <w:p w14:paraId="0C898022" w14:textId="77777777" w:rsidR="00725B7E" w:rsidRDefault="00725B7E" w:rsidP="00186518">
      <w:pPr>
        <w:pStyle w:val="Textonotapie"/>
        <w:rPr>
          <w:rFonts w:cs="Arial"/>
          <w:sz w:val="22"/>
          <w:szCs w:val="22"/>
        </w:rPr>
      </w:pPr>
      <w:r>
        <w:rPr>
          <w:rStyle w:val="Refdenotaalpie"/>
          <w:rFonts w:cs="Arial"/>
          <w:sz w:val="22"/>
          <w:szCs w:val="22"/>
        </w:rPr>
        <w:footnoteRef/>
      </w:r>
      <w:r>
        <w:rPr>
          <w:rFonts w:cs="Arial"/>
          <w:sz w:val="22"/>
          <w:szCs w:val="22"/>
        </w:rPr>
        <w:t xml:space="preserve"> Zuleta Puceiro, Enrique. Teoría del Derecho: Enfoques y aproximaciones. Buenos Aires, Lexis Nexis, 2005, página 207.</w:t>
      </w:r>
    </w:p>
  </w:footnote>
  <w:footnote w:id="63">
    <w:p w14:paraId="12055E43" w14:textId="77777777" w:rsidR="00725B7E" w:rsidRDefault="00725B7E" w:rsidP="00186518">
      <w:pPr>
        <w:pStyle w:val="Textonotapie"/>
        <w:rPr>
          <w:rFonts w:cs="Arial"/>
          <w:sz w:val="22"/>
          <w:szCs w:val="22"/>
        </w:rPr>
      </w:pPr>
      <w:r>
        <w:rPr>
          <w:rStyle w:val="Refdenotaalpie"/>
          <w:rFonts w:cs="Arial"/>
          <w:sz w:val="22"/>
          <w:szCs w:val="22"/>
        </w:rPr>
        <w:footnoteRef/>
      </w:r>
      <w:r>
        <w:rPr>
          <w:rFonts w:cs="Arial"/>
          <w:sz w:val="22"/>
          <w:szCs w:val="22"/>
        </w:rPr>
        <w:t xml:space="preserve"> Linares Quintana, obra citada, página 359.</w:t>
      </w:r>
    </w:p>
  </w:footnote>
  <w:footnote w:id="64">
    <w:p w14:paraId="72FDF5DF" w14:textId="77777777" w:rsidR="00725B7E" w:rsidRDefault="00725B7E" w:rsidP="00186518">
      <w:pPr>
        <w:pStyle w:val="Textonotapie"/>
        <w:rPr>
          <w:rFonts w:cs="Arial"/>
          <w:sz w:val="22"/>
          <w:szCs w:val="22"/>
        </w:rPr>
      </w:pPr>
      <w:r>
        <w:rPr>
          <w:rStyle w:val="Refdenotaalpie"/>
          <w:rFonts w:cs="Arial"/>
          <w:sz w:val="22"/>
          <w:szCs w:val="22"/>
        </w:rPr>
        <w:footnoteRef/>
      </w:r>
      <w:r>
        <w:rPr>
          <w:rFonts w:cs="Arial"/>
          <w:sz w:val="22"/>
          <w:szCs w:val="22"/>
        </w:rPr>
        <w:t xml:space="preserve"> En esta sentencia estaba en juego el impedimento a ejercer derecho a enseñar de una extranjera. Este fallo se analizará posteriormente. </w:t>
      </w:r>
    </w:p>
  </w:footnote>
  <w:footnote w:id="65">
    <w:p w14:paraId="13CE5B6F"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Sabsay, obra citada, página 22. </w:t>
      </w:r>
    </w:p>
  </w:footnote>
  <w:footnote w:id="66">
    <w:p w14:paraId="6E9668B2"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Linares Quintana, obra citada, página 273.</w:t>
      </w:r>
    </w:p>
  </w:footnote>
  <w:footnote w:id="67">
    <w:p w14:paraId="1B3B576C"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Linares Quintana, obra citada, páginas 275 y 276.</w:t>
      </w:r>
    </w:p>
  </w:footnote>
  <w:footnote w:id="68">
    <w:p w14:paraId="4E958D4B"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Bielsa, Rafael. La protección constitucional y el recurso extraordinario; jurisdicción de la Corte Suprema. Buenos Aires, Facultad de Derecho y Ciencias Sociales, 1936, páginas 304 y 305.</w:t>
      </w:r>
    </w:p>
  </w:footnote>
  <w:footnote w:id="69">
    <w:p w14:paraId="5A5A65E3" w14:textId="77777777" w:rsidR="00725B7E" w:rsidRDefault="00725B7E" w:rsidP="00186518">
      <w:pPr>
        <w:pStyle w:val="Textonotapie"/>
        <w:rPr>
          <w:rFonts w:cs="Arial"/>
          <w:sz w:val="22"/>
          <w:lang w:val="es-ES"/>
        </w:rPr>
      </w:pPr>
      <w:r>
        <w:rPr>
          <w:rStyle w:val="Refdenotaalpie"/>
          <w:rFonts w:cs="Arial"/>
          <w:sz w:val="22"/>
        </w:rPr>
        <w:footnoteRef/>
      </w:r>
      <w:r>
        <w:rPr>
          <w:rFonts w:cs="Arial"/>
          <w:sz w:val="22"/>
          <w:lang w:val="en-US"/>
        </w:rPr>
        <w:t xml:space="preserve"> Holmes, Oliver Wendell. </w:t>
      </w:r>
      <w:r>
        <w:rPr>
          <w:rFonts w:cs="Arial"/>
          <w:sz w:val="22"/>
          <w:lang w:val="es-ES"/>
        </w:rPr>
        <w:t>La senda del derecho. Buenos Aires, Abeledo Perrot, 1975, página 34.</w:t>
      </w:r>
    </w:p>
  </w:footnote>
  <w:footnote w:id="70">
    <w:p w14:paraId="5903A807" w14:textId="77777777" w:rsidR="00725B7E" w:rsidRDefault="00725B7E" w:rsidP="00186518">
      <w:pPr>
        <w:pStyle w:val="Textonotapie"/>
        <w:spacing w:line="360" w:lineRule="auto"/>
        <w:jc w:val="both"/>
        <w:rPr>
          <w:rFonts w:cs="Arial"/>
          <w:sz w:val="22"/>
          <w:szCs w:val="22"/>
        </w:rPr>
      </w:pPr>
      <w:r>
        <w:rPr>
          <w:rStyle w:val="Refdenotaalpie"/>
          <w:rFonts w:cs="Arial"/>
          <w:sz w:val="22"/>
          <w:szCs w:val="22"/>
        </w:rPr>
        <w:footnoteRef/>
      </w:r>
      <w:r>
        <w:rPr>
          <w:rFonts w:cs="Arial"/>
          <w:sz w:val="22"/>
          <w:szCs w:val="22"/>
        </w:rPr>
        <w:t xml:space="preserve"> Gargarella, Roberto, Interpretación constitucional, en: Albanese, Susana… (et. al.). Derecho Constitucional. Buenos Aires, Editorial Universidad, 2004, página 655.</w:t>
      </w:r>
    </w:p>
  </w:footnote>
  <w:footnote w:id="71">
    <w:p w14:paraId="7C520A54" w14:textId="77777777" w:rsidR="00725B7E" w:rsidRDefault="00725B7E" w:rsidP="00186518">
      <w:pPr>
        <w:pStyle w:val="Textonotapie"/>
        <w:spacing w:line="360" w:lineRule="auto"/>
        <w:jc w:val="both"/>
        <w:rPr>
          <w:rFonts w:cs="Arial"/>
          <w:sz w:val="22"/>
          <w:szCs w:val="22"/>
        </w:rPr>
      </w:pPr>
      <w:r>
        <w:rPr>
          <w:rStyle w:val="Refdenotaalpie"/>
          <w:rFonts w:cs="Arial"/>
          <w:sz w:val="22"/>
          <w:szCs w:val="22"/>
        </w:rPr>
        <w:footnoteRef/>
      </w:r>
      <w:r>
        <w:rPr>
          <w:rFonts w:cs="Arial"/>
          <w:sz w:val="22"/>
          <w:szCs w:val="22"/>
        </w:rPr>
        <w:t xml:space="preserve"> Gargarella, Roberto, obra citada, página 656.</w:t>
      </w:r>
    </w:p>
  </w:footnote>
  <w:footnote w:id="72">
    <w:p w14:paraId="72632708" w14:textId="77777777" w:rsidR="00725B7E" w:rsidRDefault="00725B7E" w:rsidP="00186518">
      <w:pPr>
        <w:pStyle w:val="Textonotapie"/>
        <w:spacing w:line="360" w:lineRule="auto"/>
        <w:jc w:val="both"/>
        <w:rPr>
          <w:rFonts w:cs="Arial"/>
          <w:sz w:val="22"/>
          <w:szCs w:val="22"/>
        </w:rPr>
      </w:pPr>
      <w:r>
        <w:rPr>
          <w:rStyle w:val="Refdenotaalpie"/>
          <w:rFonts w:cs="Arial"/>
          <w:sz w:val="22"/>
          <w:szCs w:val="22"/>
        </w:rPr>
        <w:footnoteRef/>
      </w:r>
      <w:r>
        <w:rPr>
          <w:rFonts w:cs="Arial"/>
          <w:sz w:val="22"/>
          <w:szCs w:val="22"/>
        </w:rPr>
        <w:t xml:space="preserve"> Sin duda contribuye a ello que los textos constitucionales liberales son afines en la actualidad al pensamiento conservador en lo que atañe a la defensa, por ejemplo, de los derechos de primera generación, la que puede realizarse en forma estricta adhiriendo al pensamiento de los constitucionalistas liberales de fines del siglo XVIII y el siglo XIX.</w:t>
      </w:r>
    </w:p>
  </w:footnote>
  <w:footnote w:id="73">
    <w:p w14:paraId="60DD5B1C" w14:textId="77777777" w:rsidR="00725B7E" w:rsidRDefault="00725B7E" w:rsidP="00186518">
      <w:pPr>
        <w:pStyle w:val="Textonotapie"/>
        <w:spacing w:line="360" w:lineRule="auto"/>
        <w:jc w:val="both"/>
        <w:rPr>
          <w:rFonts w:cs="Arial"/>
          <w:sz w:val="22"/>
          <w:szCs w:val="22"/>
        </w:rPr>
      </w:pPr>
      <w:r>
        <w:rPr>
          <w:rStyle w:val="Refdenotaalpie"/>
          <w:rFonts w:cs="Arial"/>
          <w:sz w:val="22"/>
          <w:szCs w:val="22"/>
        </w:rPr>
        <w:footnoteRef/>
      </w:r>
      <w:r>
        <w:rPr>
          <w:rFonts w:cs="Arial"/>
          <w:sz w:val="22"/>
          <w:szCs w:val="22"/>
        </w:rPr>
        <w:t xml:space="preserve"> Gargarella, obra citada, página 660.</w:t>
      </w:r>
    </w:p>
  </w:footnote>
  <w:footnote w:id="74">
    <w:p w14:paraId="26FD2F18" w14:textId="77777777" w:rsidR="00725B7E" w:rsidRDefault="00725B7E" w:rsidP="00186518">
      <w:pPr>
        <w:pStyle w:val="Textonotapie"/>
        <w:spacing w:line="360" w:lineRule="auto"/>
        <w:jc w:val="both"/>
        <w:rPr>
          <w:rFonts w:cs="Arial"/>
          <w:sz w:val="22"/>
          <w:szCs w:val="22"/>
        </w:rPr>
      </w:pPr>
      <w:r>
        <w:rPr>
          <w:rStyle w:val="Refdenotaalpie"/>
          <w:rFonts w:cs="Arial"/>
          <w:sz w:val="22"/>
          <w:szCs w:val="22"/>
        </w:rPr>
        <w:footnoteRef/>
      </w:r>
      <w:r>
        <w:rPr>
          <w:rFonts w:cs="Arial"/>
          <w:sz w:val="22"/>
          <w:szCs w:val="22"/>
        </w:rPr>
        <w:t xml:space="preserve"> Gargarella, obra citada, páginas 661 y 662</w:t>
      </w:r>
    </w:p>
  </w:footnote>
  <w:footnote w:id="75">
    <w:p w14:paraId="5A04711A"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Alberdi, Juan Bautista. Sistema económico y rentístico. Buenos Aires, Ediciones Ciudad Argentina, 1998, página 12.</w:t>
      </w:r>
    </w:p>
  </w:footnote>
  <w:footnote w:id="76">
    <w:p w14:paraId="7773D3ED" w14:textId="77777777" w:rsidR="00725B7E" w:rsidRDefault="00725B7E" w:rsidP="00186518">
      <w:pPr>
        <w:pStyle w:val="Textonotapie"/>
        <w:rPr>
          <w:rFonts w:cs="Arial"/>
          <w:sz w:val="22"/>
          <w:szCs w:val="22"/>
        </w:rPr>
      </w:pPr>
      <w:r>
        <w:rPr>
          <w:rStyle w:val="Refdenotaalpie"/>
          <w:rFonts w:cs="Arial"/>
          <w:sz w:val="22"/>
          <w:szCs w:val="22"/>
        </w:rPr>
        <w:footnoteRef/>
      </w:r>
      <w:r>
        <w:rPr>
          <w:rFonts w:cs="Arial"/>
          <w:sz w:val="22"/>
          <w:szCs w:val="22"/>
        </w:rPr>
        <w:t xml:space="preserve"> Linares Quintana, obra citada, página 213.</w:t>
      </w:r>
    </w:p>
  </w:footnote>
  <w:footnote w:id="77">
    <w:p w14:paraId="31961100" w14:textId="77777777" w:rsidR="00725B7E" w:rsidRDefault="00725B7E" w:rsidP="00186518">
      <w:pPr>
        <w:pStyle w:val="Textonotapie"/>
        <w:rPr>
          <w:rFonts w:cs="Arial"/>
          <w:sz w:val="22"/>
          <w:szCs w:val="22"/>
        </w:rPr>
      </w:pPr>
      <w:r>
        <w:rPr>
          <w:rStyle w:val="Refdenotaalpie"/>
          <w:rFonts w:cs="Arial"/>
          <w:sz w:val="22"/>
          <w:szCs w:val="22"/>
        </w:rPr>
        <w:footnoteRef/>
      </w:r>
      <w:r>
        <w:rPr>
          <w:rFonts w:cs="Arial"/>
          <w:sz w:val="22"/>
          <w:szCs w:val="22"/>
        </w:rPr>
        <w:t xml:space="preserve"> Zuleta Puceiro obra citada, página 51.</w:t>
      </w:r>
    </w:p>
  </w:footnote>
  <w:footnote w:id="78">
    <w:p w14:paraId="65170809"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Este fallo se analizará en la parte especial de este trabajo.</w:t>
      </w:r>
    </w:p>
  </w:footnote>
  <w:footnote w:id="79">
    <w:p w14:paraId="3F9C35B5"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Masnatta, Héctor. Interpretación de la Constitución. En: Rosatti, Horacio Daniel (et. al.). La Reforma de la Constitución. Interpretada por miembros de la Comisión de Redacción. Santa Fe, Rubinzal Culzoni Editores, 1994, página 28. </w:t>
      </w:r>
    </w:p>
  </w:footnote>
  <w:footnote w:id="80">
    <w:p w14:paraId="66C544EE"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Masnatta, obra citada, página 28. La cita de fallos corresponde al caso “Nación Argentina v. Provincia de Buenos Aires”, Fallos 256:588. </w:t>
      </w:r>
    </w:p>
  </w:footnote>
  <w:footnote w:id="81">
    <w:p w14:paraId="38F2590B" w14:textId="77777777" w:rsidR="00725B7E" w:rsidRDefault="00725B7E" w:rsidP="00186518">
      <w:pPr>
        <w:pStyle w:val="Textonotapie"/>
        <w:rPr>
          <w:rFonts w:cs="Arial"/>
          <w:sz w:val="22"/>
          <w:szCs w:val="22"/>
        </w:rPr>
      </w:pPr>
      <w:r>
        <w:rPr>
          <w:rStyle w:val="Refdenotaalpie"/>
          <w:rFonts w:cs="Arial"/>
          <w:sz w:val="22"/>
          <w:szCs w:val="22"/>
        </w:rPr>
        <w:footnoteRef/>
      </w:r>
      <w:r>
        <w:rPr>
          <w:rFonts w:cs="Arial"/>
          <w:sz w:val="22"/>
          <w:szCs w:val="22"/>
        </w:rPr>
        <w:t xml:space="preserve"> Linares Quintana, obra citada, página387.</w:t>
      </w:r>
    </w:p>
  </w:footnote>
  <w:footnote w:id="82">
    <w:p w14:paraId="444EDB21" w14:textId="77777777" w:rsidR="00725B7E" w:rsidRDefault="00725B7E" w:rsidP="00186518">
      <w:pPr>
        <w:pStyle w:val="Textonotapie"/>
        <w:rPr>
          <w:rFonts w:cs="Arial"/>
          <w:sz w:val="22"/>
          <w:szCs w:val="22"/>
        </w:rPr>
      </w:pPr>
      <w:r>
        <w:rPr>
          <w:rStyle w:val="Refdenotaalpie"/>
          <w:rFonts w:cs="Arial"/>
          <w:sz w:val="22"/>
          <w:szCs w:val="22"/>
        </w:rPr>
        <w:footnoteRef/>
      </w:r>
      <w:r>
        <w:rPr>
          <w:rFonts w:cs="Arial"/>
          <w:sz w:val="22"/>
          <w:szCs w:val="22"/>
        </w:rPr>
        <w:t xml:space="preserve"> Badeni, obra citada, página 77.</w:t>
      </w:r>
    </w:p>
  </w:footnote>
  <w:footnote w:id="83">
    <w:p w14:paraId="20395C8E" w14:textId="77777777" w:rsidR="00725B7E" w:rsidRDefault="00725B7E" w:rsidP="00186518">
      <w:pPr>
        <w:pStyle w:val="Textonotapie"/>
        <w:rPr>
          <w:rFonts w:cs="Arial"/>
          <w:sz w:val="22"/>
          <w:szCs w:val="22"/>
        </w:rPr>
      </w:pPr>
      <w:r>
        <w:rPr>
          <w:rStyle w:val="Refdenotaalpie"/>
          <w:rFonts w:cs="Arial"/>
          <w:sz w:val="22"/>
          <w:szCs w:val="22"/>
        </w:rPr>
        <w:footnoteRef/>
      </w:r>
      <w:r>
        <w:rPr>
          <w:rFonts w:cs="Arial"/>
          <w:sz w:val="22"/>
          <w:szCs w:val="22"/>
        </w:rPr>
        <w:t xml:space="preserve"> Gargarella, obra citada, página 652.</w:t>
      </w:r>
    </w:p>
  </w:footnote>
  <w:footnote w:id="84">
    <w:p w14:paraId="53A065B6" w14:textId="77777777" w:rsidR="00725B7E" w:rsidRDefault="00725B7E" w:rsidP="00186518">
      <w:pPr>
        <w:pStyle w:val="Textonotapie"/>
        <w:rPr>
          <w:rFonts w:cs="Arial"/>
          <w:sz w:val="22"/>
          <w:szCs w:val="22"/>
        </w:rPr>
      </w:pPr>
      <w:r>
        <w:rPr>
          <w:rStyle w:val="Refdenotaalpie"/>
          <w:rFonts w:cs="Arial"/>
          <w:sz w:val="22"/>
          <w:szCs w:val="22"/>
        </w:rPr>
        <w:footnoteRef/>
      </w:r>
      <w:r>
        <w:rPr>
          <w:rFonts w:cs="Arial"/>
          <w:sz w:val="22"/>
          <w:szCs w:val="22"/>
        </w:rPr>
        <w:t xml:space="preserve"> Gargarella, obra citada, página 653.</w:t>
      </w:r>
    </w:p>
  </w:footnote>
  <w:footnote w:id="85">
    <w:p w14:paraId="4B6AE4D0"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Bidart Campos, Germán J. El Constitucionalismo Social (esbozo del modelo socioeconómico de la Constitución, reformada en 1994). En: Bidart Campos, Germán J. (Coordinador). Economía, Constitución y Derechos Sociales. Buenos Aires, Ediar, 1997, página 177.</w:t>
      </w:r>
    </w:p>
  </w:footnote>
  <w:footnote w:id="86">
    <w:p w14:paraId="5ED8D667"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Este fallo también será analizado posteriormente.</w:t>
      </w:r>
    </w:p>
  </w:footnote>
  <w:footnote w:id="87">
    <w:p w14:paraId="3FA61B43" w14:textId="77777777" w:rsidR="00725B7E" w:rsidRDefault="00725B7E" w:rsidP="00186518">
      <w:pPr>
        <w:pStyle w:val="Textonotapie"/>
        <w:rPr>
          <w:lang w:val="es-ES"/>
        </w:rPr>
      </w:pPr>
      <w:r>
        <w:rPr>
          <w:rStyle w:val="Refdenotaalpie"/>
        </w:rPr>
        <w:footnoteRef/>
      </w:r>
      <w:r>
        <w:t xml:space="preserve"> </w:t>
      </w:r>
      <w:r>
        <w:rPr>
          <w:lang w:val="es-ES"/>
        </w:rPr>
        <w:t>Esta sentencia será comentada posteriormente.</w:t>
      </w:r>
    </w:p>
  </w:footnote>
  <w:footnote w:id="88">
    <w:p w14:paraId="6270BE1E" w14:textId="77777777" w:rsidR="00725B7E" w:rsidRDefault="00725B7E" w:rsidP="00186518">
      <w:pPr>
        <w:pStyle w:val="Textonotapie"/>
        <w:rPr>
          <w:rFonts w:cs="Arial"/>
          <w:sz w:val="22"/>
          <w:szCs w:val="22"/>
          <w:lang w:val="es-ES"/>
        </w:rPr>
      </w:pPr>
      <w:r>
        <w:rPr>
          <w:rStyle w:val="Refdenotaalpie"/>
          <w:rFonts w:cs="Arial"/>
          <w:sz w:val="22"/>
          <w:szCs w:val="22"/>
        </w:rPr>
        <w:footnoteRef/>
      </w:r>
      <w:r>
        <w:rPr>
          <w:rFonts w:cs="Arial"/>
          <w:sz w:val="22"/>
          <w:szCs w:val="22"/>
        </w:rPr>
        <w:t xml:space="preserve"> </w:t>
      </w:r>
      <w:r>
        <w:rPr>
          <w:rFonts w:cs="Arial"/>
          <w:sz w:val="22"/>
          <w:szCs w:val="22"/>
          <w:lang w:val="es-ES"/>
        </w:rPr>
        <w:t>Sagüés, Néstor Pedro. La interpretación judicial de la Constitución. Buenos Aires, Lexis Nexis Argentina, 2006, páginas 42 a 44.</w:t>
      </w:r>
    </w:p>
  </w:footnote>
  <w:footnote w:id="89">
    <w:p w14:paraId="1A3A6A81" w14:textId="77777777" w:rsidR="00725B7E" w:rsidRDefault="00725B7E" w:rsidP="00186518">
      <w:pPr>
        <w:pStyle w:val="Textonotapie"/>
        <w:rPr>
          <w:rFonts w:cs="Arial"/>
          <w:sz w:val="22"/>
          <w:szCs w:val="22"/>
          <w:lang w:val="es-ES"/>
        </w:rPr>
      </w:pPr>
      <w:r>
        <w:rPr>
          <w:rStyle w:val="Refdenotaalpie"/>
          <w:rFonts w:cs="Arial"/>
          <w:sz w:val="22"/>
          <w:szCs w:val="22"/>
        </w:rPr>
        <w:footnoteRef/>
      </w:r>
      <w:r>
        <w:rPr>
          <w:rFonts w:cs="Arial"/>
          <w:sz w:val="22"/>
          <w:szCs w:val="22"/>
        </w:rPr>
        <w:t xml:space="preserve"> </w:t>
      </w:r>
      <w:r>
        <w:rPr>
          <w:rFonts w:cs="Arial"/>
          <w:sz w:val="22"/>
          <w:szCs w:val="22"/>
          <w:lang w:val="es-ES"/>
        </w:rPr>
        <w:t>Sagüés, obra citada, página 59.</w:t>
      </w:r>
    </w:p>
  </w:footnote>
  <w:footnote w:id="90">
    <w:p w14:paraId="4E149607" w14:textId="77777777" w:rsidR="00725B7E" w:rsidRDefault="00725B7E" w:rsidP="00186518">
      <w:pPr>
        <w:pStyle w:val="Textonotapie"/>
        <w:rPr>
          <w:rFonts w:cs="Arial"/>
          <w:sz w:val="22"/>
          <w:szCs w:val="22"/>
        </w:rPr>
      </w:pPr>
      <w:r>
        <w:rPr>
          <w:rStyle w:val="Refdenotaalpie"/>
          <w:rFonts w:cs="Arial"/>
          <w:sz w:val="22"/>
          <w:szCs w:val="22"/>
        </w:rPr>
        <w:footnoteRef/>
      </w:r>
      <w:r>
        <w:rPr>
          <w:rFonts w:cs="Arial"/>
          <w:sz w:val="22"/>
          <w:szCs w:val="22"/>
        </w:rPr>
        <w:t xml:space="preserve"> Sagüés, obra citada, páginas 165 a 178.</w:t>
      </w:r>
    </w:p>
  </w:footnote>
  <w:footnote w:id="91">
    <w:p w14:paraId="06CC691B" w14:textId="77777777" w:rsidR="00725B7E" w:rsidRDefault="00725B7E" w:rsidP="00186518">
      <w:pPr>
        <w:pStyle w:val="Textonotapie"/>
        <w:rPr>
          <w:rFonts w:cs="Arial"/>
          <w:sz w:val="22"/>
          <w:szCs w:val="22"/>
        </w:rPr>
      </w:pPr>
      <w:r>
        <w:rPr>
          <w:rStyle w:val="Refdenotaalpie"/>
          <w:rFonts w:cs="Arial"/>
          <w:sz w:val="22"/>
          <w:szCs w:val="22"/>
        </w:rPr>
        <w:footnoteRef/>
      </w:r>
      <w:r>
        <w:rPr>
          <w:rFonts w:cs="Arial"/>
          <w:sz w:val="22"/>
          <w:szCs w:val="22"/>
        </w:rPr>
        <w:t xml:space="preserve"> Sagüés, obra citada, página 166.</w:t>
      </w:r>
    </w:p>
  </w:footnote>
  <w:footnote w:id="92">
    <w:p w14:paraId="6AE8ED20" w14:textId="77777777" w:rsidR="00725B7E" w:rsidRDefault="00725B7E" w:rsidP="00186518">
      <w:pPr>
        <w:pStyle w:val="Textonotapie"/>
        <w:rPr>
          <w:rFonts w:cs="Arial"/>
          <w:sz w:val="22"/>
          <w:szCs w:val="22"/>
        </w:rPr>
      </w:pPr>
      <w:r>
        <w:rPr>
          <w:rStyle w:val="Refdenotaalpie"/>
          <w:rFonts w:cs="Arial"/>
          <w:sz w:val="22"/>
          <w:szCs w:val="22"/>
        </w:rPr>
        <w:footnoteRef/>
      </w:r>
      <w:r>
        <w:rPr>
          <w:rFonts w:cs="Arial"/>
          <w:sz w:val="22"/>
          <w:szCs w:val="22"/>
        </w:rPr>
        <w:t xml:space="preserve"> Vigo, Rodolfo Luis. Interpretación (argumentación) jurídica en el Estado de Derecho Constitucional. Santa Fe, Rubinzal Culzoni, 2015, páginas 15 a 17.</w:t>
      </w:r>
    </w:p>
  </w:footnote>
  <w:footnote w:id="93">
    <w:p w14:paraId="04DDC6EF"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Catenacci, Imerio Jorge. Introducción al Derecho. Teoría General. Argumentación. Razonamiento Jurídico. Buenos Aires, Astrea, 2001.</w:t>
      </w:r>
    </w:p>
  </w:footnote>
  <w:footnote w:id="94">
    <w:p w14:paraId="4B257E4A"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Catenacci, obra citada, página 343.</w:t>
      </w:r>
    </w:p>
  </w:footnote>
  <w:footnote w:id="95">
    <w:p w14:paraId="786AB0F3"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Catenacci, obra citada, página 350.</w:t>
      </w:r>
    </w:p>
  </w:footnote>
  <w:footnote w:id="96">
    <w:p w14:paraId="301352D7"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Aristóteles, El arte de la Retórica. Traducción, introducción y notas: E. Ignacio Granero. Buenos Aires, Eudeba, 2015, página 39. </w:t>
      </w:r>
    </w:p>
  </w:footnote>
  <w:footnote w:id="97">
    <w:p w14:paraId="705DBF9E"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Aristóteles, obra citada, página 51. El género deliberativo, propio de las asambleas, se dirigía hacia el futuro. El judicial, relacionado con la actividad de abogados y magistrados judiciales, se orientaba siempre hacia el pasado. Y el demostrativo o epidíctico, propio de la literatura, se centraba en el presente. </w:t>
      </w:r>
    </w:p>
  </w:footnote>
  <w:footnote w:id="98">
    <w:p w14:paraId="578D1578"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Cicerón, Marco Tulio. Obras Completas. Vida y discursos. Buenos Aires, Grandes Librerías Anaconda, 1946, Tomo I, página 46.</w:t>
      </w:r>
    </w:p>
  </w:footnote>
  <w:footnote w:id="99">
    <w:p w14:paraId="5A7D8D36"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Atienza, Manuel. Las razones del derecho. Teoría de la argumentación jurídica. Instituto de Investigaciones Jurídicas. UNAM. México, 2005.</w:t>
      </w:r>
    </w:p>
  </w:footnote>
  <w:footnote w:id="100">
    <w:p w14:paraId="1D9F2AAF"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Debe remarcarse la influencia de la crisis que el genocidio nazi produjo en el paradigma legalista y positivista propio del siglo XIX y la primera mitad del XX. Esta crisis llevó a que muchos teóricos del derecho redescubrieran la Retórica y la teoría de la Argumentación como forma de conciliar principios morales y jurídicos en la interpretación de la ley.  </w:t>
      </w:r>
    </w:p>
  </w:footnote>
  <w:footnote w:id="101">
    <w:p w14:paraId="7E353BC9"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Ferrater Mora, José. Diccionario de Filosofía, tomo IV, página 3286. Madrid, Alianza Editorial, 1979. </w:t>
      </w:r>
    </w:p>
  </w:footnote>
  <w:footnote w:id="102">
    <w:p w14:paraId="5B438168"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Atienza, obra citada, páginas 47 y 48.</w:t>
      </w:r>
    </w:p>
  </w:footnote>
  <w:footnote w:id="103">
    <w:p w14:paraId="47C8687E"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Atienza, obra citada, página 82.</w:t>
      </w:r>
    </w:p>
  </w:footnote>
  <w:footnote w:id="104">
    <w:p w14:paraId="6E5D9152"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Atienza, obra citada, páginas 149 y siguientes.</w:t>
      </w:r>
    </w:p>
  </w:footnote>
  <w:footnote w:id="105">
    <w:p w14:paraId="169CF80B"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Atienza, obra citada, página 216 y siguientes. </w:t>
      </w:r>
    </w:p>
  </w:footnote>
  <w:footnote w:id="106">
    <w:p w14:paraId="1EE47E36"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Ghirardi, Olsen A. (Director). El razonamiento judicial. Córdoba, Academia Nacional de Derecho y Ciencias Sociales. Instituto de Filosofía del Derecho, 2001, página 27.</w:t>
      </w:r>
    </w:p>
  </w:footnote>
  <w:footnote w:id="107">
    <w:p w14:paraId="3ECAAAA5"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Ghirardi, Olsen A., obra citada, página 28. </w:t>
      </w:r>
    </w:p>
  </w:footnote>
  <w:footnote w:id="108">
    <w:p w14:paraId="00014B4B" w14:textId="77777777" w:rsidR="00725B7E" w:rsidRDefault="00725B7E" w:rsidP="00186518">
      <w:pPr>
        <w:pStyle w:val="Textonotapie"/>
        <w:rPr>
          <w:rFonts w:cs="Arial"/>
          <w:sz w:val="22"/>
          <w:szCs w:val="22"/>
        </w:rPr>
      </w:pPr>
      <w:r>
        <w:rPr>
          <w:rStyle w:val="Refdenotaalpie"/>
          <w:rFonts w:cs="Arial"/>
          <w:sz w:val="22"/>
          <w:szCs w:val="22"/>
        </w:rPr>
        <w:footnoteRef/>
      </w:r>
      <w:r>
        <w:rPr>
          <w:rFonts w:cs="Arial"/>
          <w:sz w:val="22"/>
          <w:szCs w:val="22"/>
        </w:rPr>
        <w:t xml:space="preserve"> Vigo, Rodolfo Luis, obra citada, páginas 36 y siguientes.</w:t>
      </w:r>
    </w:p>
  </w:footnote>
  <w:footnote w:id="109">
    <w:p w14:paraId="4CB23D6F"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Vigo, Rodolfo Luis, obra citada, páginas 225 y siguientes.</w:t>
      </w:r>
    </w:p>
  </w:footnote>
  <w:footnote w:id="110">
    <w:p w14:paraId="6CEBA636"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Vigo, obra citada, página 226 a 237.</w:t>
      </w:r>
    </w:p>
  </w:footnote>
  <w:footnote w:id="111">
    <w:p w14:paraId="275459FC"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Vigo, obra citada, página 231.</w:t>
      </w:r>
    </w:p>
  </w:footnote>
  <w:footnote w:id="112">
    <w:p w14:paraId="6A0CCF78"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Marí, Enrique. La interpretación de la ley. Buenos Aires, Eudeba, 2014, página 17.</w:t>
      </w:r>
    </w:p>
  </w:footnote>
  <w:footnote w:id="113">
    <w:p w14:paraId="08800DE8"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Marí, Enrique, obra citada, página 18.</w:t>
      </w:r>
    </w:p>
  </w:footnote>
  <w:footnote w:id="114">
    <w:p w14:paraId="33A2328E"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Lorenzetti, Ricardo Luis. Teoría de la decisión judicial. Fundamentos del Derecho. Santa Fe, Rubinzal Culzoni, 2008, página 211.</w:t>
      </w:r>
    </w:p>
  </w:footnote>
  <w:footnote w:id="115">
    <w:p w14:paraId="707A510B" w14:textId="77777777" w:rsidR="00725B7E" w:rsidRDefault="00725B7E" w:rsidP="00186518">
      <w:pPr>
        <w:pStyle w:val="Textonotapie"/>
        <w:rPr>
          <w:rFonts w:cs="Arial"/>
          <w:sz w:val="22"/>
          <w:szCs w:val="22"/>
        </w:rPr>
      </w:pPr>
      <w:r>
        <w:rPr>
          <w:rStyle w:val="Refdenotaalpie"/>
          <w:rFonts w:cs="Arial"/>
          <w:sz w:val="22"/>
          <w:szCs w:val="22"/>
        </w:rPr>
        <w:footnoteRef/>
      </w:r>
      <w:r>
        <w:rPr>
          <w:rFonts w:cs="Arial"/>
          <w:sz w:val="22"/>
          <w:szCs w:val="22"/>
        </w:rPr>
        <w:t xml:space="preserve"> Confr. Häberle, Peter. El Estado constitucional. Buenos Aires, Astrea, 2007, páginas 263 y siguientes. </w:t>
      </w:r>
    </w:p>
  </w:footnote>
  <w:footnote w:id="116">
    <w:p w14:paraId="1F83FC93" w14:textId="77777777" w:rsidR="00725B7E" w:rsidRDefault="00725B7E" w:rsidP="00186518">
      <w:pPr>
        <w:pStyle w:val="Textonotapie"/>
        <w:rPr>
          <w:rFonts w:cs="Arial"/>
          <w:sz w:val="22"/>
          <w:szCs w:val="22"/>
        </w:rPr>
      </w:pPr>
      <w:r>
        <w:rPr>
          <w:rStyle w:val="Refdenotaalpie"/>
          <w:rFonts w:cs="Arial"/>
          <w:sz w:val="22"/>
          <w:szCs w:val="22"/>
        </w:rPr>
        <w:footnoteRef/>
      </w:r>
      <w:r>
        <w:rPr>
          <w:rFonts w:cs="Arial"/>
          <w:sz w:val="22"/>
          <w:szCs w:val="22"/>
        </w:rPr>
        <w:t xml:space="preserve"> Santiago, Alfonso (h). En las fronteras entre el Derecho Constitucional y la Filosofía del Derecho: consideraciones iusfilosóficas acerca de algunos temas constitucionales. Buenos Aires, Marcial Pons Argentina, 2010, página 146. </w:t>
      </w:r>
    </w:p>
  </w:footnote>
  <w:footnote w:id="117">
    <w:p w14:paraId="257D4455" w14:textId="77777777" w:rsidR="00725B7E" w:rsidRDefault="00725B7E" w:rsidP="00186518">
      <w:pPr>
        <w:pStyle w:val="Textonotapie"/>
        <w:rPr>
          <w:rFonts w:cs="Arial"/>
          <w:sz w:val="22"/>
          <w:szCs w:val="22"/>
        </w:rPr>
      </w:pPr>
      <w:r>
        <w:rPr>
          <w:rStyle w:val="Refdenotaalpie"/>
          <w:rFonts w:cs="Arial"/>
          <w:sz w:val="22"/>
          <w:szCs w:val="22"/>
        </w:rPr>
        <w:footnoteRef/>
      </w:r>
      <w:r>
        <w:rPr>
          <w:rFonts w:cs="Arial"/>
          <w:sz w:val="22"/>
          <w:szCs w:val="22"/>
        </w:rPr>
        <w:t xml:space="preserve"> Santiago, obra citada, páginas 147 y 148.</w:t>
      </w:r>
    </w:p>
  </w:footnote>
  <w:footnote w:id="118">
    <w:p w14:paraId="51B33BCE" w14:textId="77777777" w:rsidR="00725B7E" w:rsidRDefault="00725B7E" w:rsidP="00186518">
      <w:pPr>
        <w:pStyle w:val="Textonotapie"/>
        <w:rPr>
          <w:rFonts w:cs="Arial"/>
          <w:sz w:val="22"/>
          <w:szCs w:val="22"/>
        </w:rPr>
      </w:pPr>
      <w:r>
        <w:rPr>
          <w:rStyle w:val="Refdenotaalpie"/>
          <w:rFonts w:cs="Arial"/>
          <w:sz w:val="22"/>
          <w:szCs w:val="22"/>
        </w:rPr>
        <w:footnoteRef/>
      </w:r>
      <w:r>
        <w:rPr>
          <w:rFonts w:cs="Arial"/>
          <w:sz w:val="22"/>
          <w:szCs w:val="22"/>
        </w:rPr>
        <w:t xml:space="preserve"> Santiago, obra citada, páginas 148 a 154. </w:t>
      </w:r>
    </w:p>
  </w:footnote>
  <w:footnote w:id="119">
    <w:p w14:paraId="640A4040"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Vanossi, Jorge Reinaldo A. El Estado de Derecho en el Constitucionalismo Social. Tercera edición. Buenos Aires, Eudeba, 2000, página 251. </w:t>
      </w:r>
    </w:p>
  </w:footnote>
  <w:footnote w:id="120">
    <w:p w14:paraId="784FBF19"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Vanossi, obra citada, página 251. </w:t>
      </w:r>
    </w:p>
  </w:footnote>
  <w:footnote w:id="121">
    <w:p w14:paraId="266318D8"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Vanossi, obra citada, páginas 255 y 256.</w:t>
      </w:r>
    </w:p>
  </w:footnote>
  <w:footnote w:id="122">
    <w:p w14:paraId="42BCEC90"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Morello, Augusto Mario. La Corte Suprema en el sistema político. Buenos Aires, Lexis Nexis, Abeledo Perrot, 2005, página 121.  </w:t>
      </w:r>
    </w:p>
  </w:footnote>
  <w:footnote w:id="123">
    <w:p w14:paraId="64CC1ED6" w14:textId="77777777" w:rsidR="00725B7E" w:rsidRDefault="00725B7E" w:rsidP="00186518">
      <w:pPr>
        <w:pStyle w:val="Textonotapie"/>
        <w:rPr>
          <w:rFonts w:cs="Arial"/>
          <w:sz w:val="22"/>
          <w:lang w:val="es-ES"/>
        </w:rPr>
      </w:pPr>
      <w:r>
        <w:rPr>
          <w:rStyle w:val="Refdenotaalpie"/>
          <w:rFonts w:cs="Arial"/>
          <w:sz w:val="22"/>
        </w:rPr>
        <w:footnoteRef/>
      </w:r>
      <w:r>
        <w:rPr>
          <w:rFonts w:cs="Arial"/>
          <w:sz w:val="22"/>
        </w:rPr>
        <w:t xml:space="preserve"> </w:t>
      </w:r>
      <w:r>
        <w:rPr>
          <w:rFonts w:cs="Arial"/>
          <w:sz w:val="22"/>
          <w:lang w:val="es-ES"/>
        </w:rPr>
        <w:t xml:space="preserve">Fayt, carlos S. La Corte Suprema y la evolución de su jurisprudencia. </w:t>
      </w:r>
      <w:r>
        <w:rPr>
          <w:rFonts w:cs="Arial"/>
          <w:sz w:val="22"/>
          <w:lang w:val="en-US"/>
        </w:rPr>
        <w:t xml:space="preserve">Leading cases y </w:t>
      </w:r>
      <w:proofErr w:type="spellStart"/>
      <w:r>
        <w:rPr>
          <w:rFonts w:cs="Arial"/>
          <w:sz w:val="22"/>
          <w:lang w:val="en-US"/>
        </w:rPr>
        <w:t>hodings</w:t>
      </w:r>
      <w:proofErr w:type="spellEnd"/>
      <w:r>
        <w:rPr>
          <w:rFonts w:cs="Arial"/>
          <w:sz w:val="22"/>
          <w:lang w:val="en-US"/>
        </w:rPr>
        <w:t xml:space="preserve">. </w:t>
      </w:r>
      <w:r>
        <w:rPr>
          <w:rFonts w:cs="Arial"/>
          <w:sz w:val="22"/>
          <w:lang w:val="es-ES"/>
        </w:rPr>
        <w:t xml:space="preserve">Casos trascendentes. Buenos Aires, La Ley, 2004, página VII, prólogo. </w:t>
      </w:r>
    </w:p>
  </w:footnote>
  <w:footnote w:id="124">
    <w:p w14:paraId="05C7DF5F"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Dalla Via, Alberto Ricardo. Teoría política y constitucional. México, UNAM, 2006, página 218. </w:t>
      </w:r>
    </w:p>
  </w:footnote>
  <w:footnote w:id="125">
    <w:p w14:paraId="5FD0FB01"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Dalla Via, Alberto Ricardo. Instituciones..., obra citada, página 313.</w:t>
      </w:r>
    </w:p>
  </w:footnote>
  <w:footnote w:id="126">
    <w:p w14:paraId="6F3A37BE"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Dalla Via, Alberto Ricardo. Instituciones..., obra citada, página 313. </w:t>
      </w:r>
    </w:p>
  </w:footnote>
  <w:footnote w:id="127">
    <w:p w14:paraId="3A343583" w14:textId="77777777" w:rsidR="004160A4" w:rsidRDefault="004160A4" w:rsidP="004160A4">
      <w:pPr>
        <w:pStyle w:val="Textonotapie"/>
        <w:rPr>
          <w:rFonts w:cs="Arial"/>
          <w:sz w:val="22"/>
        </w:rPr>
      </w:pPr>
      <w:r>
        <w:rPr>
          <w:rStyle w:val="Refdenotaalpie"/>
          <w:rFonts w:cs="Arial"/>
          <w:sz w:val="22"/>
        </w:rPr>
        <w:footnoteRef/>
      </w:r>
      <w:r>
        <w:rPr>
          <w:rFonts w:cs="Arial"/>
          <w:sz w:val="22"/>
        </w:rPr>
        <w:t xml:space="preserve"> Badeni, obra citada, página 67.</w:t>
      </w:r>
    </w:p>
  </w:footnote>
  <w:footnote w:id="128">
    <w:p w14:paraId="7FF5C5CB" w14:textId="77777777" w:rsidR="004160A4" w:rsidRDefault="004160A4" w:rsidP="004160A4">
      <w:pPr>
        <w:pStyle w:val="Textonotapie"/>
        <w:rPr>
          <w:rFonts w:cs="Arial"/>
          <w:sz w:val="22"/>
        </w:rPr>
      </w:pPr>
      <w:r>
        <w:rPr>
          <w:rStyle w:val="Refdenotaalpie"/>
          <w:rFonts w:cs="Arial"/>
          <w:sz w:val="22"/>
        </w:rPr>
        <w:footnoteRef/>
      </w:r>
      <w:r>
        <w:rPr>
          <w:rFonts w:cs="Arial"/>
          <w:sz w:val="22"/>
        </w:rPr>
        <w:t xml:space="preserve"> Guastini, Ricardo. Estudios sobre interpretación jurídica. México, UNAM, 1999, página 34. </w:t>
      </w:r>
    </w:p>
  </w:footnote>
  <w:footnote w:id="129">
    <w:p w14:paraId="12B1E978" w14:textId="77777777" w:rsidR="004160A4" w:rsidRDefault="004160A4" w:rsidP="004160A4">
      <w:pPr>
        <w:pStyle w:val="Textonotapie"/>
        <w:rPr>
          <w:rFonts w:cs="Arial"/>
          <w:sz w:val="22"/>
        </w:rPr>
      </w:pPr>
      <w:r>
        <w:rPr>
          <w:rStyle w:val="Refdenotaalpie"/>
          <w:rFonts w:cs="Arial"/>
          <w:sz w:val="22"/>
        </w:rPr>
        <w:footnoteRef/>
      </w:r>
      <w:r>
        <w:rPr>
          <w:rFonts w:cs="Arial"/>
          <w:sz w:val="22"/>
        </w:rPr>
        <w:t xml:space="preserve"> Badeni, obra citada, página 67.</w:t>
      </w:r>
    </w:p>
  </w:footnote>
  <w:footnote w:id="130">
    <w:p w14:paraId="4E5669A6" w14:textId="77777777" w:rsidR="004160A4" w:rsidRDefault="004160A4" w:rsidP="004160A4">
      <w:pPr>
        <w:pStyle w:val="Textonotapie"/>
        <w:rPr>
          <w:rFonts w:cs="Arial"/>
          <w:sz w:val="22"/>
        </w:rPr>
      </w:pPr>
      <w:r>
        <w:rPr>
          <w:rStyle w:val="Refdenotaalpie"/>
          <w:rFonts w:cs="Arial"/>
          <w:sz w:val="22"/>
        </w:rPr>
        <w:footnoteRef/>
      </w:r>
      <w:r>
        <w:rPr>
          <w:rFonts w:cs="Arial"/>
          <w:sz w:val="22"/>
        </w:rPr>
        <w:t xml:space="preserve"> Guastini, Ricardo. Estudios sobre interpretación jurídica. México, UNAM, 1999, página 34. </w:t>
      </w:r>
    </w:p>
  </w:footnote>
  <w:footnote w:id="131">
    <w:p w14:paraId="6D57D899" w14:textId="244E3D2F" w:rsidR="00725B7E" w:rsidRDefault="00725B7E" w:rsidP="00186518">
      <w:pPr>
        <w:pStyle w:val="Textonotapie"/>
        <w:rPr>
          <w:rFonts w:cs="Arial"/>
          <w:sz w:val="22"/>
          <w:szCs w:val="22"/>
        </w:rPr>
      </w:pPr>
      <w:r>
        <w:rPr>
          <w:rStyle w:val="Refdenotaalpie"/>
          <w:rFonts w:cs="Arial"/>
          <w:sz w:val="22"/>
          <w:szCs w:val="22"/>
        </w:rPr>
        <w:footnoteRef/>
      </w:r>
      <w:r>
        <w:rPr>
          <w:rFonts w:cs="Arial"/>
          <w:sz w:val="22"/>
          <w:szCs w:val="22"/>
        </w:rPr>
        <w:t xml:space="preserve"> Puede verse una síntesis de</w:t>
      </w:r>
      <w:r w:rsidR="00812BB9">
        <w:rPr>
          <w:rFonts w:cs="Arial"/>
          <w:sz w:val="22"/>
          <w:szCs w:val="22"/>
        </w:rPr>
        <w:t xml:space="preserve"> este</w:t>
      </w:r>
      <w:r>
        <w:rPr>
          <w:rFonts w:cs="Arial"/>
          <w:sz w:val="22"/>
          <w:szCs w:val="22"/>
        </w:rPr>
        <w:t xml:space="preserve"> en Manili, Pablo Luis. Evolución de la jurisprudencia de la Corte Suprema de Justicia de la Nación 1863-2007. Buenos Aires, Editorial Universidad, 2007, obra citada en nota 151, páginas 73 a 77.</w:t>
      </w:r>
    </w:p>
  </w:footnote>
  <w:footnote w:id="132">
    <w:p w14:paraId="25082D89"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Manili, Pablo Luis, Constitucionalismo Social, obra citada, páginas 111 y 112.</w:t>
      </w:r>
    </w:p>
  </w:footnote>
  <w:footnote w:id="133">
    <w:p w14:paraId="45C7A3C1" w14:textId="77777777" w:rsidR="00725B7E" w:rsidRDefault="00725B7E" w:rsidP="00186518">
      <w:pPr>
        <w:pStyle w:val="Textonotapie"/>
        <w:rPr>
          <w:rFonts w:cs="Arial"/>
          <w:sz w:val="22"/>
          <w:szCs w:val="22"/>
        </w:rPr>
      </w:pPr>
      <w:r>
        <w:rPr>
          <w:rStyle w:val="Refdenotaalpie"/>
          <w:rFonts w:cs="Arial"/>
          <w:sz w:val="22"/>
          <w:szCs w:val="22"/>
        </w:rPr>
        <w:footnoteRef/>
      </w:r>
      <w:r>
        <w:rPr>
          <w:rFonts w:cs="Arial"/>
          <w:sz w:val="22"/>
          <w:szCs w:val="22"/>
        </w:rPr>
        <w:t xml:space="preserve"> Dicho decreto había establecido entre otros temas, el pago obligatorio del aguinaldo, la duplicación de la indemnización por despido y plazos máximos para suspensiones por falta de trabajo y despidos por razones de fuerza mayor. </w:t>
      </w:r>
    </w:p>
  </w:footnote>
  <w:footnote w:id="134">
    <w:p w14:paraId="518F5C22" w14:textId="77777777" w:rsidR="00725B7E" w:rsidRDefault="00725B7E" w:rsidP="00186518">
      <w:pPr>
        <w:pStyle w:val="Textonotapie"/>
        <w:rPr>
          <w:rFonts w:cs="Arial"/>
          <w:sz w:val="22"/>
          <w:szCs w:val="22"/>
        </w:rPr>
      </w:pPr>
      <w:r>
        <w:rPr>
          <w:rStyle w:val="Refdenotaalpie"/>
          <w:rFonts w:cs="Arial"/>
          <w:sz w:val="22"/>
          <w:szCs w:val="22"/>
        </w:rPr>
        <w:footnoteRef/>
      </w:r>
      <w:r>
        <w:rPr>
          <w:rFonts w:cs="Arial"/>
          <w:sz w:val="22"/>
          <w:szCs w:val="22"/>
        </w:rPr>
        <w:t xml:space="preserve"> Vale resaltar que en Vizzoti el perjuicio ocasionado al actor al aplicar el tope era groseramente confiscatorio y manifiestamente inconstitucional.</w:t>
      </w:r>
    </w:p>
  </w:footnote>
  <w:footnote w:id="135">
    <w:p w14:paraId="03CE54C1"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A los efectos de definir el control de convencionalidad es muy apropiado seguir la explicación de Adelina Loianno, quien señala que: “En cuanto al control de convencionalidad, es un concepto cuya definición más clara se encuentra en el voto razonado del magistrado de la Corte Interamericana Antonio Cancado Trindade en el caso Myrna Mack Changg vs. Guatemala, al decir que: ...Cuando un Estado ha ratificado un tratado internacional como la Convención Americana, sus jueces también están sometidos a ella, lo que les obliga a velar porque el efecto útil de la Convención no se vea mermado o anulado por la aplicación de leyes contrarias a sus disposiciones, objeto y fin. En otras palabras, los órganos del Poder Judicial deben ejercer no sólo un control de constitucionalidad, sino también de “convencionalidad” ex officio entre las normas internas y la Convención Americana, evidentemente en el marco de sus respectivas competencias y de las regulaciones procesales correspondientes...” Loianno, Adelina. El marco conceptual del control de convencionalidad en algunos fallos de la Corte Suprema argentina “Arancibia Clavel”, “Simón”, “Mazzeo”, en: Albanese, Susana (Coordinadora). El Control de Convencionalidad. Buenos Aires, Ediar, 2008, página 114.</w:t>
      </w:r>
    </w:p>
  </w:footnote>
  <w:footnote w:id="136">
    <w:p w14:paraId="1D961FC5"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Atento a la trascendencia del fallo y, a los efectos de profundizar sobre la repercusión que tuvo en el momento de su dictado, puede consultarse el artículo de Gelli, María Angélica. Los casos “Vizzoti” y “Aquino” y el examen de los efectos de las sentencias. Buenos Aires, La Ley 2005-A, 922. Allí se realiza un análisis crítico del mismo.  También puede consultarse:  Maza, Miguel Ángel. El tope salarial del artículo 245 de la LCT y la doctrina del caso “Vizzoti” de la Corte Suprema. Revista de Derecho Laboral. Buenos Aires, Rubinzal Culzoni, 2004, Número extraordinario. Fallos recientes de la CSJN, página 41.   </w:t>
      </w:r>
    </w:p>
  </w:footnote>
  <w:footnote w:id="137">
    <w:p w14:paraId="772AEB35" w14:textId="77777777" w:rsidR="00725B7E" w:rsidRDefault="00725B7E" w:rsidP="00186518">
      <w:pPr>
        <w:pStyle w:val="Textonotapie"/>
        <w:rPr>
          <w:rFonts w:cs="Arial"/>
          <w:sz w:val="22"/>
          <w:szCs w:val="22"/>
        </w:rPr>
      </w:pPr>
      <w:r>
        <w:rPr>
          <w:rStyle w:val="Refdenotaalpie"/>
          <w:rFonts w:cs="Arial"/>
          <w:sz w:val="22"/>
          <w:szCs w:val="22"/>
        </w:rPr>
        <w:footnoteRef/>
      </w:r>
      <w:r>
        <w:rPr>
          <w:rFonts w:cs="Arial"/>
          <w:sz w:val="22"/>
          <w:szCs w:val="22"/>
        </w:rPr>
        <w:t xml:space="preserve"> Bidart Campos, Germán José. Tratado Elemental de Derecho Constitucional Argentino, obra citada, página 372.</w:t>
      </w:r>
    </w:p>
  </w:footnote>
  <w:footnote w:id="138">
    <w:p w14:paraId="1EC35784" w14:textId="77777777" w:rsidR="00725B7E" w:rsidRDefault="00725B7E" w:rsidP="00186518">
      <w:pPr>
        <w:pStyle w:val="Textonotapie"/>
        <w:rPr>
          <w:rFonts w:cs="Arial"/>
          <w:sz w:val="22"/>
        </w:rPr>
      </w:pPr>
      <w:r>
        <w:rPr>
          <w:rStyle w:val="Refdenotaalpie"/>
          <w:rFonts w:cs="Arial"/>
          <w:sz w:val="22"/>
        </w:rPr>
        <w:footnoteRef/>
      </w:r>
      <w:r>
        <w:rPr>
          <w:rFonts w:cs="Arial"/>
          <w:sz w:val="22"/>
        </w:rPr>
        <w:t xml:space="preserve"> Para indagar sobre la repercusión del fallo en el momento en el que se dictó puede consultarse: Gialdino, Rolando E. La Corte Suprema y la titularidad del derecho de huelga. El caso Orellano: un regreso al siglo XIX. Buenos Aires. Derecho del Trabajo, Thomson Reuters La Ley, octubre de 2016, página 2367.</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C140F3"/>
    <w:multiLevelType w:val="hybridMultilevel"/>
    <w:tmpl w:val="A0020B26"/>
    <w:lvl w:ilvl="0" w:tplc="2C0A000F">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 w15:restartNumberingAfterBreak="0">
    <w:nsid w:val="08D74FE1"/>
    <w:multiLevelType w:val="hybridMultilevel"/>
    <w:tmpl w:val="70EA5324"/>
    <w:lvl w:ilvl="0" w:tplc="2C0A000F">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2" w15:restartNumberingAfterBreak="0">
    <w:nsid w:val="17FA13F4"/>
    <w:multiLevelType w:val="hybridMultilevel"/>
    <w:tmpl w:val="BECAD6BE"/>
    <w:lvl w:ilvl="0" w:tplc="2C0A000F">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3" w15:restartNumberingAfterBreak="0">
    <w:nsid w:val="1E375C02"/>
    <w:multiLevelType w:val="hybridMultilevel"/>
    <w:tmpl w:val="30E6383E"/>
    <w:lvl w:ilvl="0" w:tplc="2C0A000F">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4" w15:restartNumberingAfterBreak="0">
    <w:nsid w:val="1EB77F52"/>
    <w:multiLevelType w:val="hybridMultilevel"/>
    <w:tmpl w:val="EF089BA6"/>
    <w:lvl w:ilvl="0" w:tplc="2C0A000F">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5" w15:restartNumberingAfterBreak="0">
    <w:nsid w:val="29630249"/>
    <w:multiLevelType w:val="hybridMultilevel"/>
    <w:tmpl w:val="4C84F238"/>
    <w:lvl w:ilvl="0" w:tplc="EBF232EE">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6" w15:restartNumberingAfterBreak="0">
    <w:nsid w:val="49A16D53"/>
    <w:multiLevelType w:val="hybridMultilevel"/>
    <w:tmpl w:val="99F847B2"/>
    <w:lvl w:ilvl="0" w:tplc="2C0A000F">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7" w15:restartNumberingAfterBreak="0">
    <w:nsid w:val="4D2D056C"/>
    <w:multiLevelType w:val="hybridMultilevel"/>
    <w:tmpl w:val="251AA970"/>
    <w:lvl w:ilvl="0" w:tplc="2C0A000F">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8" w15:restartNumberingAfterBreak="0">
    <w:nsid w:val="51B1479B"/>
    <w:multiLevelType w:val="hybridMultilevel"/>
    <w:tmpl w:val="60145C56"/>
    <w:lvl w:ilvl="0" w:tplc="9F388E4E">
      <w:start w:val="1"/>
      <w:numFmt w:val="low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9" w15:restartNumberingAfterBreak="0">
    <w:nsid w:val="598D4C64"/>
    <w:multiLevelType w:val="hybridMultilevel"/>
    <w:tmpl w:val="2736A32A"/>
    <w:lvl w:ilvl="0" w:tplc="2C0A000F">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0" w15:restartNumberingAfterBreak="0">
    <w:nsid w:val="6D756008"/>
    <w:multiLevelType w:val="hybridMultilevel"/>
    <w:tmpl w:val="F31287BA"/>
    <w:lvl w:ilvl="0" w:tplc="2C0A000F">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num w:numId="1">
    <w:abstractNumId w:val="8"/>
  </w:num>
  <w:num w:numId="2">
    <w:abstractNumId w:val="3"/>
  </w:num>
  <w:num w:numId="3">
    <w:abstractNumId w:val="10"/>
  </w:num>
  <w:num w:numId="4">
    <w:abstractNumId w:val="5"/>
  </w:num>
  <w:num w:numId="5">
    <w:abstractNumId w:val="1"/>
  </w:num>
  <w:num w:numId="6">
    <w:abstractNumId w:val="9"/>
  </w:num>
  <w:num w:numId="7">
    <w:abstractNumId w:val="4"/>
  </w:num>
  <w:num w:numId="8">
    <w:abstractNumId w:val="6"/>
  </w:num>
  <w:num w:numId="9">
    <w:abstractNumId w:val="2"/>
  </w:num>
  <w:num w:numId="10">
    <w:abstractNumId w:val="0"/>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6518"/>
    <w:rsid w:val="000025E4"/>
    <w:rsid w:val="00003C34"/>
    <w:rsid w:val="000178E8"/>
    <w:rsid w:val="00052021"/>
    <w:rsid w:val="00054848"/>
    <w:rsid w:val="00073D97"/>
    <w:rsid w:val="000820C8"/>
    <w:rsid w:val="00085948"/>
    <w:rsid w:val="00086870"/>
    <w:rsid w:val="000945B2"/>
    <w:rsid w:val="000A0279"/>
    <w:rsid w:val="000B0EC3"/>
    <w:rsid w:val="000C079A"/>
    <w:rsid w:val="000D7D6E"/>
    <w:rsid w:val="000E097C"/>
    <w:rsid w:val="000E7BF5"/>
    <w:rsid w:val="000F4597"/>
    <w:rsid w:val="000F66B3"/>
    <w:rsid w:val="000F73F7"/>
    <w:rsid w:val="001146F7"/>
    <w:rsid w:val="0011534C"/>
    <w:rsid w:val="001156EC"/>
    <w:rsid w:val="00117B11"/>
    <w:rsid w:val="00124FDA"/>
    <w:rsid w:val="00126C46"/>
    <w:rsid w:val="001406F7"/>
    <w:rsid w:val="001439BE"/>
    <w:rsid w:val="00146D5B"/>
    <w:rsid w:val="00157380"/>
    <w:rsid w:val="0016784E"/>
    <w:rsid w:val="001724C8"/>
    <w:rsid w:val="001736D2"/>
    <w:rsid w:val="00186518"/>
    <w:rsid w:val="00194D53"/>
    <w:rsid w:val="001B3DE0"/>
    <w:rsid w:val="001C2AF9"/>
    <w:rsid w:val="001D30A5"/>
    <w:rsid w:val="001E4F3F"/>
    <w:rsid w:val="001F3D41"/>
    <w:rsid w:val="00200692"/>
    <w:rsid w:val="00201676"/>
    <w:rsid w:val="00203D68"/>
    <w:rsid w:val="002051F9"/>
    <w:rsid w:val="00262A57"/>
    <w:rsid w:val="00266AF5"/>
    <w:rsid w:val="002726B3"/>
    <w:rsid w:val="002A024A"/>
    <w:rsid w:val="002A6549"/>
    <w:rsid w:val="002B0B90"/>
    <w:rsid w:val="002B14AD"/>
    <w:rsid w:val="002C1CF4"/>
    <w:rsid w:val="002C6B0C"/>
    <w:rsid w:val="002D634F"/>
    <w:rsid w:val="002E5D01"/>
    <w:rsid w:val="00340304"/>
    <w:rsid w:val="00346CE9"/>
    <w:rsid w:val="00356293"/>
    <w:rsid w:val="00357847"/>
    <w:rsid w:val="00362861"/>
    <w:rsid w:val="003709C4"/>
    <w:rsid w:val="003832DF"/>
    <w:rsid w:val="00384B0F"/>
    <w:rsid w:val="00385F5C"/>
    <w:rsid w:val="00387A39"/>
    <w:rsid w:val="00393E94"/>
    <w:rsid w:val="003A6BFC"/>
    <w:rsid w:val="003B66A4"/>
    <w:rsid w:val="003D1BFA"/>
    <w:rsid w:val="003E11F5"/>
    <w:rsid w:val="003E3290"/>
    <w:rsid w:val="003F23DD"/>
    <w:rsid w:val="003F714B"/>
    <w:rsid w:val="004069FB"/>
    <w:rsid w:val="00407B4E"/>
    <w:rsid w:val="00411433"/>
    <w:rsid w:val="00412170"/>
    <w:rsid w:val="0041405B"/>
    <w:rsid w:val="00414624"/>
    <w:rsid w:val="004160A4"/>
    <w:rsid w:val="00417A5F"/>
    <w:rsid w:val="00424E4A"/>
    <w:rsid w:val="00433C7E"/>
    <w:rsid w:val="00436C2E"/>
    <w:rsid w:val="004524A6"/>
    <w:rsid w:val="00452F2A"/>
    <w:rsid w:val="00472D67"/>
    <w:rsid w:val="00484EAE"/>
    <w:rsid w:val="004850F1"/>
    <w:rsid w:val="00491F27"/>
    <w:rsid w:val="0049567B"/>
    <w:rsid w:val="004B195E"/>
    <w:rsid w:val="004C7ABB"/>
    <w:rsid w:val="004D61A7"/>
    <w:rsid w:val="004F7AB6"/>
    <w:rsid w:val="00500D8E"/>
    <w:rsid w:val="005049BE"/>
    <w:rsid w:val="00507390"/>
    <w:rsid w:val="00535F48"/>
    <w:rsid w:val="00563BB5"/>
    <w:rsid w:val="005641A5"/>
    <w:rsid w:val="0057257E"/>
    <w:rsid w:val="005928D5"/>
    <w:rsid w:val="00592BF4"/>
    <w:rsid w:val="00593E92"/>
    <w:rsid w:val="005A05C0"/>
    <w:rsid w:val="005B0039"/>
    <w:rsid w:val="005C67A4"/>
    <w:rsid w:val="005D492C"/>
    <w:rsid w:val="005E2732"/>
    <w:rsid w:val="005E5E05"/>
    <w:rsid w:val="005F7082"/>
    <w:rsid w:val="006078E0"/>
    <w:rsid w:val="0062242C"/>
    <w:rsid w:val="00626A55"/>
    <w:rsid w:val="0063501C"/>
    <w:rsid w:val="006355F9"/>
    <w:rsid w:val="006478D8"/>
    <w:rsid w:val="00651B82"/>
    <w:rsid w:val="00656DBF"/>
    <w:rsid w:val="0067072F"/>
    <w:rsid w:val="00683EBD"/>
    <w:rsid w:val="006A211C"/>
    <w:rsid w:val="006A63CE"/>
    <w:rsid w:val="006D6C3B"/>
    <w:rsid w:val="006E2C96"/>
    <w:rsid w:val="006F4C99"/>
    <w:rsid w:val="00714993"/>
    <w:rsid w:val="00725B7E"/>
    <w:rsid w:val="007352C7"/>
    <w:rsid w:val="00751712"/>
    <w:rsid w:val="00757548"/>
    <w:rsid w:val="00761D58"/>
    <w:rsid w:val="00764733"/>
    <w:rsid w:val="007761AD"/>
    <w:rsid w:val="00776A9E"/>
    <w:rsid w:val="00786B3B"/>
    <w:rsid w:val="0079240C"/>
    <w:rsid w:val="007A0FF6"/>
    <w:rsid w:val="007A7A35"/>
    <w:rsid w:val="007C234D"/>
    <w:rsid w:val="007D34EE"/>
    <w:rsid w:val="007E27D0"/>
    <w:rsid w:val="007F00E5"/>
    <w:rsid w:val="00801EE0"/>
    <w:rsid w:val="008109F0"/>
    <w:rsid w:val="00812713"/>
    <w:rsid w:val="00812BB9"/>
    <w:rsid w:val="00821F38"/>
    <w:rsid w:val="008308D3"/>
    <w:rsid w:val="00830C03"/>
    <w:rsid w:val="00837231"/>
    <w:rsid w:val="0084450A"/>
    <w:rsid w:val="00844D5B"/>
    <w:rsid w:val="00856010"/>
    <w:rsid w:val="00856162"/>
    <w:rsid w:val="008621E8"/>
    <w:rsid w:val="00874ACB"/>
    <w:rsid w:val="00894CDA"/>
    <w:rsid w:val="008A4979"/>
    <w:rsid w:val="008B594B"/>
    <w:rsid w:val="008C01E7"/>
    <w:rsid w:val="008C3047"/>
    <w:rsid w:val="008D5E5C"/>
    <w:rsid w:val="008F70D9"/>
    <w:rsid w:val="00900EE5"/>
    <w:rsid w:val="00923700"/>
    <w:rsid w:val="00942E58"/>
    <w:rsid w:val="009433EB"/>
    <w:rsid w:val="00955239"/>
    <w:rsid w:val="00972B98"/>
    <w:rsid w:val="00977370"/>
    <w:rsid w:val="00977C0C"/>
    <w:rsid w:val="009919BE"/>
    <w:rsid w:val="009979F7"/>
    <w:rsid w:val="009A59B1"/>
    <w:rsid w:val="009B258B"/>
    <w:rsid w:val="009B5D3E"/>
    <w:rsid w:val="009D284F"/>
    <w:rsid w:val="009E0513"/>
    <w:rsid w:val="009E3B17"/>
    <w:rsid w:val="00A04A17"/>
    <w:rsid w:val="00A07684"/>
    <w:rsid w:val="00A30D37"/>
    <w:rsid w:val="00A41F96"/>
    <w:rsid w:val="00A5384E"/>
    <w:rsid w:val="00A55A2F"/>
    <w:rsid w:val="00A675CD"/>
    <w:rsid w:val="00A75E06"/>
    <w:rsid w:val="00A8270C"/>
    <w:rsid w:val="00A8297F"/>
    <w:rsid w:val="00A82C68"/>
    <w:rsid w:val="00A87BF4"/>
    <w:rsid w:val="00A97BF8"/>
    <w:rsid w:val="00AA635E"/>
    <w:rsid w:val="00AC45EE"/>
    <w:rsid w:val="00AD5049"/>
    <w:rsid w:val="00AE689A"/>
    <w:rsid w:val="00AF5A74"/>
    <w:rsid w:val="00B0486C"/>
    <w:rsid w:val="00B115D9"/>
    <w:rsid w:val="00B261ED"/>
    <w:rsid w:val="00B26DC0"/>
    <w:rsid w:val="00B31684"/>
    <w:rsid w:val="00B47535"/>
    <w:rsid w:val="00B5004F"/>
    <w:rsid w:val="00B53642"/>
    <w:rsid w:val="00B61B5C"/>
    <w:rsid w:val="00B73B77"/>
    <w:rsid w:val="00B85827"/>
    <w:rsid w:val="00B875FB"/>
    <w:rsid w:val="00B96B96"/>
    <w:rsid w:val="00BB2B50"/>
    <w:rsid w:val="00BE0347"/>
    <w:rsid w:val="00BE122C"/>
    <w:rsid w:val="00BF10B7"/>
    <w:rsid w:val="00BF6296"/>
    <w:rsid w:val="00C04463"/>
    <w:rsid w:val="00C105C7"/>
    <w:rsid w:val="00C33AED"/>
    <w:rsid w:val="00C814B1"/>
    <w:rsid w:val="00C91D12"/>
    <w:rsid w:val="00C94C00"/>
    <w:rsid w:val="00CC42E0"/>
    <w:rsid w:val="00CD319D"/>
    <w:rsid w:val="00CE20E6"/>
    <w:rsid w:val="00CE4E4B"/>
    <w:rsid w:val="00D00A43"/>
    <w:rsid w:val="00D20BB1"/>
    <w:rsid w:val="00D2213C"/>
    <w:rsid w:val="00D224B2"/>
    <w:rsid w:val="00D566FF"/>
    <w:rsid w:val="00D60E40"/>
    <w:rsid w:val="00D7090F"/>
    <w:rsid w:val="00D7771C"/>
    <w:rsid w:val="00D909BC"/>
    <w:rsid w:val="00D95477"/>
    <w:rsid w:val="00DA4E9A"/>
    <w:rsid w:val="00DC440C"/>
    <w:rsid w:val="00DC6CCE"/>
    <w:rsid w:val="00DD566B"/>
    <w:rsid w:val="00DE493D"/>
    <w:rsid w:val="00DE670C"/>
    <w:rsid w:val="00E167EE"/>
    <w:rsid w:val="00E16E7D"/>
    <w:rsid w:val="00E170FF"/>
    <w:rsid w:val="00E361E4"/>
    <w:rsid w:val="00E36FE4"/>
    <w:rsid w:val="00E43BED"/>
    <w:rsid w:val="00E44D3C"/>
    <w:rsid w:val="00E44D94"/>
    <w:rsid w:val="00E46620"/>
    <w:rsid w:val="00E50853"/>
    <w:rsid w:val="00E63D71"/>
    <w:rsid w:val="00E734D6"/>
    <w:rsid w:val="00E77751"/>
    <w:rsid w:val="00E84057"/>
    <w:rsid w:val="00E97078"/>
    <w:rsid w:val="00EA0F01"/>
    <w:rsid w:val="00EA587E"/>
    <w:rsid w:val="00EB03DB"/>
    <w:rsid w:val="00EB370C"/>
    <w:rsid w:val="00EB5433"/>
    <w:rsid w:val="00EB5A09"/>
    <w:rsid w:val="00EF360D"/>
    <w:rsid w:val="00EF516E"/>
    <w:rsid w:val="00EF579A"/>
    <w:rsid w:val="00F00727"/>
    <w:rsid w:val="00F06D66"/>
    <w:rsid w:val="00F07194"/>
    <w:rsid w:val="00F0738D"/>
    <w:rsid w:val="00F16550"/>
    <w:rsid w:val="00F4127D"/>
    <w:rsid w:val="00F42344"/>
    <w:rsid w:val="00F45882"/>
    <w:rsid w:val="00F602B8"/>
    <w:rsid w:val="00F735DF"/>
    <w:rsid w:val="00F75304"/>
    <w:rsid w:val="00F87293"/>
    <w:rsid w:val="00F92909"/>
    <w:rsid w:val="00FA2B0D"/>
    <w:rsid w:val="00FC407B"/>
    <w:rsid w:val="00FC7A25"/>
    <w:rsid w:val="00FF29C2"/>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98ECBE"/>
  <w15:chartTrackingRefBased/>
  <w15:docId w15:val="{9CEF16EC-3F42-4A0E-ADE9-2783E8427F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qFormat/>
    <w:rsid w:val="00186518"/>
    <w:pPr>
      <w:keepNext/>
      <w:spacing w:after="0" w:line="360" w:lineRule="auto"/>
      <w:outlineLvl w:val="0"/>
    </w:pPr>
    <w:rPr>
      <w:rFonts w:ascii="Times New Roman" w:eastAsia="Times New Roman" w:hAnsi="Times New Roman" w:cs="Times New Roman"/>
      <w:b/>
      <w:bCs/>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186518"/>
    <w:rPr>
      <w:rFonts w:ascii="Times New Roman" w:eastAsia="Times New Roman" w:hAnsi="Times New Roman" w:cs="Times New Roman"/>
      <w:b/>
      <w:bCs/>
      <w:sz w:val="24"/>
      <w:szCs w:val="24"/>
      <w:lang w:eastAsia="es-ES"/>
    </w:rPr>
  </w:style>
  <w:style w:type="numbering" w:customStyle="1" w:styleId="Sinlista1">
    <w:name w:val="Sin lista1"/>
    <w:next w:val="Sinlista"/>
    <w:uiPriority w:val="99"/>
    <w:semiHidden/>
    <w:unhideWhenUsed/>
    <w:rsid w:val="00186518"/>
  </w:style>
  <w:style w:type="character" w:styleId="Refdenotaalpie">
    <w:name w:val="footnote reference"/>
    <w:semiHidden/>
    <w:rsid w:val="00186518"/>
    <w:rPr>
      <w:vertAlign w:val="superscript"/>
    </w:rPr>
  </w:style>
  <w:style w:type="paragraph" w:styleId="Textonotapie">
    <w:name w:val="footnote text"/>
    <w:basedOn w:val="Normal"/>
    <w:link w:val="TextonotapieCar"/>
    <w:semiHidden/>
    <w:rsid w:val="00186518"/>
    <w:pPr>
      <w:spacing w:after="0" w:line="240" w:lineRule="auto"/>
    </w:pPr>
    <w:rPr>
      <w:rFonts w:ascii="Calibri" w:eastAsia="Calibri" w:hAnsi="Calibri" w:cs="Times New Roman"/>
      <w:sz w:val="20"/>
      <w:szCs w:val="20"/>
    </w:rPr>
  </w:style>
  <w:style w:type="character" w:customStyle="1" w:styleId="TextonotapieCar">
    <w:name w:val="Texto nota pie Car"/>
    <w:basedOn w:val="Fuentedeprrafopredeter"/>
    <w:link w:val="Textonotapie"/>
    <w:semiHidden/>
    <w:rsid w:val="00186518"/>
    <w:rPr>
      <w:rFonts w:ascii="Calibri" w:eastAsia="Calibri" w:hAnsi="Calibri" w:cs="Times New Roman"/>
      <w:sz w:val="20"/>
      <w:szCs w:val="20"/>
    </w:rPr>
  </w:style>
  <w:style w:type="character" w:styleId="Nmerodepgina">
    <w:name w:val="page number"/>
    <w:basedOn w:val="Fuentedeprrafopredeter"/>
    <w:semiHidden/>
    <w:rsid w:val="00186518"/>
  </w:style>
  <w:style w:type="paragraph" w:styleId="Piedepgina">
    <w:name w:val="footer"/>
    <w:basedOn w:val="Normal"/>
    <w:link w:val="PiedepginaCar"/>
    <w:semiHidden/>
    <w:rsid w:val="00186518"/>
    <w:pPr>
      <w:tabs>
        <w:tab w:val="center" w:pos="4419"/>
        <w:tab w:val="right" w:pos="8838"/>
      </w:tabs>
      <w:spacing w:after="0" w:line="240" w:lineRule="auto"/>
    </w:pPr>
    <w:rPr>
      <w:rFonts w:ascii="Times New Roman" w:eastAsia="Times New Roman" w:hAnsi="Times New Roman" w:cs="Times New Roman"/>
      <w:sz w:val="24"/>
      <w:szCs w:val="24"/>
      <w:lang w:val="es-ES" w:eastAsia="es-ES"/>
    </w:rPr>
  </w:style>
  <w:style w:type="character" w:customStyle="1" w:styleId="PiedepginaCar">
    <w:name w:val="Pie de página Car"/>
    <w:basedOn w:val="Fuentedeprrafopredeter"/>
    <w:link w:val="Piedepgina"/>
    <w:semiHidden/>
    <w:rsid w:val="00186518"/>
    <w:rPr>
      <w:rFonts w:ascii="Times New Roman" w:eastAsia="Times New Roman" w:hAnsi="Times New Roman" w:cs="Times New Roman"/>
      <w:sz w:val="24"/>
      <w:szCs w:val="24"/>
      <w:lang w:val="es-ES" w:eastAsia="es-ES"/>
    </w:rPr>
  </w:style>
  <w:style w:type="paragraph" w:styleId="Sangradetextonormal">
    <w:name w:val="Body Text Indent"/>
    <w:basedOn w:val="Normal"/>
    <w:link w:val="SangradetextonormalCar"/>
    <w:semiHidden/>
    <w:rsid w:val="00186518"/>
    <w:pPr>
      <w:spacing w:after="200" w:line="360" w:lineRule="auto"/>
      <w:ind w:firstLine="708"/>
      <w:jc w:val="both"/>
    </w:pPr>
    <w:rPr>
      <w:rFonts w:ascii="Times New Roman" w:eastAsia="Calibri" w:hAnsi="Times New Roman" w:cs="Times New Roman"/>
      <w:sz w:val="24"/>
      <w:szCs w:val="24"/>
    </w:rPr>
  </w:style>
  <w:style w:type="character" w:customStyle="1" w:styleId="SangradetextonormalCar">
    <w:name w:val="Sangría de texto normal Car"/>
    <w:basedOn w:val="Fuentedeprrafopredeter"/>
    <w:link w:val="Sangradetextonormal"/>
    <w:semiHidden/>
    <w:rsid w:val="00186518"/>
    <w:rPr>
      <w:rFonts w:ascii="Times New Roman" w:eastAsia="Calibri" w:hAnsi="Times New Roman" w:cs="Times New Roman"/>
      <w:sz w:val="24"/>
      <w:szCs w:val="24"/>
    </w:rPr>
  </w:style>
  <w:style w:type="paragraph" w:styleId="Textoindependiente">
    <w:name w:val="Body Text"/>
    <w:basedOn w:val="Normal"/>
    <w:link w:val="TextoindependienteCar"/>
    <w:semiHidden/>
    <w:unhideWhenUsed/>
    <w:rsid w:val="00186518"/>
    <w:pPr>
      <w:spacing w:after="120" w:line="240" w:lineRule="auto"/>
    </w:pPr>
    <w:rPr>
      <w:rFonts w:ascii="Times New Roman" w:eastAsia="Times New Roman" w:hAnsi="Times New Roman" w:cs="Times New Roman"/>
      <w:sz w:val="24"/>
      <w:szCs w:val="24"/>
      <w:lang w:val="es-ES" w:eastAsia="es-ES"/>
    </w:rPr>
  </w:style>
  <w:style w:type="character" w:customStyle="1" w:styleId="TextoindependienteCar">
    <w:name w:val="Texto independiente Car"/>
    <w:basedOn w:val="Fuentedeprrafopredeter"/>
    <w:link w:val="Textoindependiente"/>
    <w:semiHidden/>
    <w:rsid w:val="00186518"/>
    <w:rPr>
      <w:rFonts w:ascii="Times New Roman" w:eastAsia="Times New Roman" w:hAnsi="Times New Roman" w:cs="Times New Roman"/>
      <w:sz w:val="24"/>
      <w:szCs w:val="24"/>
      <w:lang w:val="es-ES" w:eastAsia="es-ES"/>
    </w:rPr>
  </w:style>
  <w:style w:type="paragraph" w:styleId="Textoindependiente2">
    <w:name w:val="Body Text 2"/>
    <w:basedOn w:val="Normal"/>
    <w:link w:val="Textoindependiente2Car"/>
    <w:semiHidden/>
    <w:rsid w:val="00186518"/>
    <w:pPr>
      <w:spacing w:after="0" w:line="360" w:lineRule="auto"/>
      <w:jc w:val="both"/>
    </w:pPr>
    <w:rPr>
      <w:rFonts w:ascii="Arial" w:eastAsia="Times New Roman" w:hAnsi="Arial" w:cs="Arial"/>
      <w:b/>
      <w:bCs/>
      <w:sz w:val="24"/>
      <w:szCs w:val="24"/>
      <w:lang w:val="es-ES" w:eastAsia="es-ES"/>
    </w:rPr>
  </w:style>
  <w:style w:type="character" w:customStyle="1" w:styleId="Textoindependiente2Car">
    <w:name w:val="Texto independiente 2 Car"/>
    <w:basedOn w:val="Fuentedeprrafopredeter"/>
    <w:link w:val="Textoindependiente2"/>
    <w:semiHidden/>
    <w:rsid w:val="00186518"/>
    <w:rPr>
      <w:rFonts w:ascii="Arial" w:eastAsia="Times New Roman" w:hAnsi="Arial" w:cs="Arial"/>
      <w:b/>
      <w:bCs/>
      <w:sz w:val="24"/>
      <w:szCs w:val="24"/>
      <w:lang w:val="es-ES" w:eastAsia="es-ES"/>
    </w:rPr>
  </w:style>
  <w:style w:type="paragraph" w:styleId="Textoindependiente3">
    <w:name w:val="Body Text 3"/>
    <w:basedOn w:val="Normal"/>
    <w:link w:val="Textoindependiente3Car"/>
    <w:semiHidden/>
    <w:rsid w:val="00186518"/>
    <w:pPr>
      <w:spacing w:after="0" w:line="360" w:lineRule="auto"/>
      <w:jc w:val="both"/>
    </w:pPr>
    <w:rPr>
      <w:rFonts w:ascii="Arial" w:eastAsia="Times New Roman" w:hAnsi="Arial" w:cs="Arial"/>
      <w:sz w:val="24"/>
      <w:szCs w:val="24"/>
      <w:lang w:val="es-ES" w:eastAsia="es-ES"/>
    </w:rPr>
  </w:style>
  <w:style w:type="character" w:customStyle="1" w:styleId="Textoindependiente3Car">
    <w:name w:val="Texto independiente 3 Car"/>
    <w:basedOn w:val="Fuentedeprrafopredeter"/>
    <w:link w:val="Textoindependiente3"/>
    <w:semiHidden/>
    <w:rsid w:val="00186518"/>
    <w:rPr>
      <w:rFonts w:ascii="Arial" w:eastAsia="Times New Roman" w:hAnsi="Arial" w:cs="Arial"/>
      <w:sz w:val="24"/>
      <w:szCs w:val="24"/>
      <w:lang w:val="es-ES" w:eastAsia="es-ES"/>
    </w:rPr>
  </w:style>
  <w:style w:type="paragraph" w:styleId="Prrafodelista">
    <w:name w:val="List Paragraph"/>
    <w:basedOn w:val="Normal"/>
    <w:uiPriority w:val="34"/>
    <w:qFormat/>
    <w:rsid w:val="00656DB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234</TotalTime>
  <Pages>149</Pages>
  <Words>40104</Words>
  <Characters>220576</Characters>
  <Application>Microsoft Office Word</Application>
  <DocSecurity>0</DocSecurity>
  <Lines>1838</Lines>
  <Paragraphs>520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260160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236</cp:revision>
  <dcterms:created xsi:type="dcterms:W3CDTF">2020-07-01T23:18:00Z</dcterms:created>
  <dcterms:modified xsi:type="dcterms:W3CDTF">2020-07-02T03:21:00Z</dcterms:modified>
</cp:coreProperties>
</file>