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4E4" w:rsidRPr="00174C08" w:rsidRDefault="001E64E4" w:rsidP="004F7C6A">
      <w:pPr>
        <w:spacing w:line="360" w:lineRule="auto"/>
        <w:jc w:val="center"/>
        <w:rPr>
          <w:b/>
          <w:lang w:val="es-AR"/>
        </w:rPr>
      </w:pPr>
      <w:bookmarkStart w:id="0" w:name="_GoBack"/>
      <w:bookmarkEnd w:id="0"/>
      <w:r w:rsidRPr="00174C08">
        <w:rPr>
          <w:b/>
          <w:lang w:val="es-AR"/>
        </w:rPr>
        <w:t>TEMARIO CONSTITUCIONALISMO SOCIAL</w:t>
      </w:r>
    </w:p>
    <w:p w:rsidR="001E64E4" w:rsidRPr="00174C08" w:rsidRDefault="001E64E4" w:rsidP="004F7C6A">
      <w:pPr>
        <w:spacing w:line="360" w:lineRule="auto"/>
        <w:jc w:val="center"/>
        <w:rPr>
          <w:b/>
          <w:lang w:val="es-AR"/>
        </w:rPr>
      </w:pPr>
      <w:r w:rsidRPr="00174C08">
        <w:rPr>
          <w:b/>
          <w:lang w:val="es-AR"/>
        </w:rPr>
        <w:t>COMISIÓN 0038 PROFESOR AYALA, JAVIER.</w:t>
      </w:r>
    </w:p>
    <w:p w:rsidR="001E64E4" w:rsidRPr="00174C08" w:rsidRDefault="007C5F9B" w:rsidP="004F7C6A">
      <w:pPr>
        <w:spacing w:line="360" w:lineRule="auto"/>
        <w:jc w:val="center"/>
        <w:rPr>
          <w:b/>
          <w:lang w:val="es-AR"/>
        </w:rPr>
      </w:pPr>
      <w:r w:rsidRPr="00174C08">
        <w:rPr>
          <w:b/>
          <w:lang w:val="es-AR"/>
        </w:rPr>
        <w:t>SEGUNDO CUATRIMESTRE 2019</w:t>
      </w:r>
    </w:p>
    <w:p w:rsidR="00D25822" w:rsidRDefault="007C5F9B" w:rsidP="004F7C6A">
      <w:pPr>
        <w:spacing w:line="360" w:lineRule="auto"/>
        <w:jc w:val="center"/>
        <w:rPr>
          <w:b/>
          <w:lang w:val="es-AR"/>
        </w:rPr>
      </w:pPr>
      <w:r w:rsidRPr="00174C08">
        <w:rPr>
          <w:b/>
          <w:lang w:val="es-AR"/>
        </w:rPr>
        <w:t>MIÉRCOLES 20 A 23 HS.</w:t>
      </w:r>
    </w:p>
    <w:p w:rsidR="001E64E4" w:rsidRPr="00174C08" w:rsidRDefault="001E64E4" w:rsidP="004F7C6A">
      <w:pPr>
        <w:spacing w:line="360" w:lineRule="auto"/>
        <w:jc w:val="center"/>
        <w:rPr>
          <w:b/>
          <w:lang w:val="es-AR"/>
        </w:rPr>
      </w:pPr>
    </w:p>
    <w:p w:rsidR="007A5D1A" w:rsidRDefault="007A5D1A" w:rsidP="00517299">
      <w:pPr>
        <w:spacing w:line="360" w:lineRule="auto"/>
        <w:rPr>
          <w:lang w:val="es-AR"/>
        </w:rPr>
      </w:pPr>
    </w:p>
    <w:p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1. </w:t>
      </w:r>
      <w:r w:rsidR="006D1C0D">
        <w:rPr>
          <w:lang w:val="es-AR"/>
        </w:rPr>
        <w:t>Concepto de Constitución</w:t>
      </w:r>
    </w:p>
    <w:p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2. </w:t>
      </w:r>
      <w:r w:rsidRPr="00D25822">
        <w:rPr>
          <w:lang w:val="es-AR"/>
        </w:rPr>
        <w:t>El constitucionalismo social en el Derecho</w:t>
      </w:r>
      <w:r>
        <w:rPr>
          <w:lang w:val="es-AR"/>
        </w:rPr>
        <w:t xml:space="preserve"> Comparado: evolución histórica</w:t>
      </w:r>
      <w:r w:rsidR="006D1C0D">
        <w:rPr>
          <w:lang w:val="es-AR"/>
        </w:rPr>
        <w:t xml:space="preserve">. </w:t>
      </w:r>
      <w:r w:rsidR="003A1A44">
        <w:rPr>
          <w:lang w:val="es-AR"/>
        </w:rPr>
        <w:t>Constituciones de México (1917), Weimar (1919), Italia (1947), España (1978). Evolución del Constitucionalismo Social en América Latina</w:t>
      </w:r>
    </w:p>
    <w:p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3. </w:t>
      </w:r>
      <w:r w:rsidR="001E64E4" w:rsidRPr="00D25822">
        <w:rPr>
          <w:lang w:val="es-AR"/>
        </w:rPr>
        <w:t>Supremacía Const</w:t>
      </w:r>
      <w:r w:rsidRPr="00D25822">
        <w:rPr>
          <w:lang w:val="es-AR"/>
        </w:rPr>
        <w:t>itucional y Jerarquía de Normas</w:t>
      </w:r>
      <w:r>
        <w:rPr>
          <w:lang w:val="es-AR"/>
        </w:rPr>
        <w:t xml:space="preserve"> en Argentina</w:t>
      </w:r>
    </w:p>
    <w:p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4. </w:t>
      </w:r>
      <w:r w:rsidR="001E64E4">
        <w:rPr>
          <w:lang w:val="es-AR"/>
        </w:rPr>
        <w:t>Control de Constitucionalidad</w:t>
      </w:r>
      <w:r>
        <w:rPr>
          <w:lang w:val="es-AR"/>
        </w:rPr>
        <w:t xml:space="preserve"> y de Convencionalidad</w:t>
      </w:r>
    </w:p>
    <w:p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>5. El Derecho Procesal Constit</w:t>
      </w:r>
      <w:r w:rsidR="006D1C0D">
        <w:rPr>
          <w:lang w:val="es-AR"/>
        </w:rPr>
        <w:t>ucional. La competencia federal</w:t>
      </w:r>
    </w:p>
    <w:p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>6. Competencia de la Corte Suprema de Justicia:</w:t>
      </w:r>
      <w:r w:rsidR="006D1C0D">
        <w:rPr>
          <w:lang w:val="es-AR"/>
        </w:rPr>
        <w:t xml:space="preserve"> originaria y apelada ordinaria</w:t>
      </w:r>
    </w:p>
    <w:p w:rsidR="00D25822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7. Recurso Extraordinario Federal. Sentencia arbitraria, gravedad institucional, per </w:t>
      </w:r>
      <w:proofErr w:type="spellStart"/>
      <w:r w:rsidR="006D1C0D">
        <w:rPr>
          <w:lang w:val="es-AR"/>
        </w:rPr>
        <w:t>saltum</w:t>
      </w:r>
      <w:proofErr w:type="spellEnd"/>
      <w:r w:rsidR="006D1C0D">
        <w:rPr>
          <w:lang w:val="es-AR"/>
        </w:rPr>
        <w:t xml:space="preserve">, </w:t>
      </w:r>
      <w:proofErr w:type="spellStart"/>
      <w:r w:rsidR="006D1C0D">
        <w:rPr>
          <w:lang w:val="es-AR"/>
        </w:rPr>
        <w:t>certiorari</w:t>
      </w:r>
      <w:proofErr w:type="spellEnd"/>
    </w:p>
    <w:p w:rsidR="0051205D" w:rsidRDefault="00D25822" w:rsidP="00517299">
      <w:pPr>
        <w:spacing w:line="360" w:lineRule="auto"/>
        <w:rPr>
          <w:lang w:val="es-AR"/>
        </w:rPr>
      </w:pPr>
      <w:r>
        <w:rPr>
          <w:lang w:val="es-AR"/>
        </w:rPr>
        <w:t>8. Las garantías constitucionales. Acción de</w:t>
      </w:r>
      <w:r w:rsidR="006D1C0D">
        <w:rPr>
          <w:lang w:val="es-AR"/>
        </w:rPr>
        <w:t xml:space="preserve"> amparo individual y colectivo</w:t>
      </w:r>
    </w:p>
    <w:p w:rsidR="0051205D" w:rsidRDefault="0051205D" w:rsidP="00517299">
      <w:pPr>
        <w:spacing w:line="360" w:lineRule="auto"/>
        <w:rPr>
          <w:lang w:val="es-AR"/>
        </w:rPr>
      </w:pPr>
      <w:r>
        <w:rPr>
          <w:lang w:val="es-AR"/>
        </w:rPr>
        <w:t>9. Antecedentes del Constitucionalismo Social en la Argentina</w:t>
      </w:r>
    </w:p>
    <w:p w:rsidR="0051205D" w:rsidRDefault="0051205D" w:rsidP="00517299">
      <w:pPr>
        <w:spacing w:line="360" w:lineRule="auto"/>
        <w:rPr>
          <w:lang w:val="es-AR"/>
        </w:rPr>
      </w:pPr>
      <w:r>
        <w:rPr>
          <w:lang w:val="es-AR"/>
        </w:rPr>
        <w:t xml:space="preserve">10. </w:t>
      </w:r>
      <w:r w:rsidR="001E64E4">
        <w:rPr>
          <w:lang w:val="es-AR"/>
        </w:rPr>
        <w:t>Poder Constit</w:t>
      </w:r>
      <w:r>
        <w:rPr>
          <w:lang w:val="es-AR"/>
        </w:rPr>
        <w:t>uyente y Reforma Constitucional</w:t>
      </w:r>
    </w:p>
    <w:p w:rsidR="00543C92" w:rsidRDefault="00B21AA0" w:rsidP="00517299">
      <w:pPr>
        <w:spacing w:line="360" w:lineRule="auto"/>
        <w:rPr>
          <w:lang w:val="es-AR"/>
        </w:rPr>
      </w:pPr>
      <w:r>
        <w:rPr>
          <w:lang w:val="es-AR"/>
        </w:rPr>
        <w:t>11.</w:t>
      </w:r>
      <w:r w:rsidR="0051205D">
        <w:rPr>
          <w:lang w:val="es-AR"/>
        </w:rPr>
        <w:t xml:space="preserve"> </w:t>
      </w:r>
      <w:r>
        <w:rPr>
          <w:lang w:val="es-AR"/>
        </w:rPr>
        <w:t>La</w:t>
      </w:r>
      <w:r w:rsidR="00D77642">
        <w:rPr>
          <w:lang w:val="es-AR"/>
        </w:rPr>
        <w:t xml:space="preserve"> Reforma Constitucional de 1949: </w:t>
      </w:r>
      <w:r w:rsidR="00543C92">
        <w:rPr>
          <w:lang w:val="es-AR"/>
        </w:rPr>
        <w:t>Contexto histórico y cambios normativos</w:t>
      </w:r>
    </w:p>
    <w:p w:rsidR="00B21AA0" w:rsidRDefault="00B21AA0" w:rsidP="00517299">
      <w:pPr>
        <w:spacing w:line="360" w:lineRule="auto"/>
        <w:rPr>
          <w:lang w:val="es-AR"/>
        </w:rPr>
      </w:pPr>
      <w:r>
        <w:rPr>
          <w:lang w:val="es-AR"/>
        </w:rPr>
        <w:t>12. La Reforma Constitucional de 1957: Contexto histórico y cambios normativos</w:t>
      </w:r>
    </w:p>
    <w:p w:rsidR="00B21AA0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13. La Reforma Constitucional de 1994: Contexto histórico y cambios normativos</w:t>
      </w:r>
    </w:p>
    <w:p w:rsidR="007A5D1A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14</w:t>
      </w:r>
      <w:r w:rsidR="00543C92">
        <w:rPr>
          <w:lang w:val="es-AR"/>
        </w:rPr>
        <w:t xml:space="preserve">. </w:t>
      </w:r>
      <w:r w:rsidR="001E64E4">
        <w:rPr>
          <w:lang w:val="es-AR"/>
        </w:rPr>
        <w:t>Los derechos constitucionales: concepto, clasificación. Los derechos económicos, sociales y culturales</w:t>
      </w:r>
      <w:r w:rsidR="00543C92">
        <w:rPr>
          <w:lang w:val="es-AR"/>
        </w:rPr>
        <w:t xml:space="preserve">. </w:t>
      </w:r>
      <w:r w:rsidR="001E64E4">
        <w:rPr>
          <w:lang w:val="es-AR"/>
        </w:rPr>
        <w:t>Principios de legalidad y razonabilidad. Poder d</w:t>
      </w:r>
      <w:r>
        <w:rPr>
          <w:lang w:val="es-AR"/>
        </w:rPr>
        <w:t>e Policía. Evolución Histórica</w:t>
      </w:r>
    </w:p>
    <w:p w:rsidR="007A5D1A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15</w:t>
      </w:r>
      <w:r w:rsidR="007A5D1A">
        <w:rPr>
          <w:lang w:val="es-AR"/>
        </w:rPr>
        <w:t>. Interpretación Constitucional</w:t>
      </w:r>
    </w:p>
    <w:p w:rsidR="007A5D1A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16</w:t>
      </w:r>
      <w:r w:rsidR="007A5D1A">
        <w:rPr>
          <w:lang w:val="es-AR"/>
        </w:rPr>
        <w:t xml:space="preserve">. </w:t>
      </w:r>
      <w:r w:rsidR="001E64E4">
        <w:rPr>
          <w:lang w:val="es-AR"/>
        </w:rPr>
        <w:t>La Corte Suprema de Justicia de la Nación: su evolución histórica e importancia institucional</w:t>
      </w:r>
    </w:p>
    <w:p w:rsidR="001E64E4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17</w:t>
      </w:r>
      <w:r w:rsidR="007A5D1A">
        <w:rPr>
          <w:lang w:val="es-AR"/>
        </w:rPr>
        <w:t>.</w:t>
      </w:r>
      <w:r w:rsidR="001E64E4" w:rsidRPr="007A5D1A">
        <w:rPr>
          <w:lang w:val="es-AR"/>
        </w:rPr>
        <w:t xml:space="preserve"> </w:t>
      </w:r>
      <w:r w:rsidR="007A5D1A">
        <w:rPr>
          <w:lang w:val="es-AR"/>
        </w:rPr>
        <w:t xml:space="preserve">Interpretación </w:t>
      </w:r>
      <w:r w:rsidR="001E64E4" w:rsidRPr="007A5D1A">
        <w:rPr>
          <w:lang w:val="es-AR"/>
        </w:rPr>
        <w:t xml:space="preserve">de los derechos Económicos y Sociales a través de la jurisprudencia de la Corte Suprema de Justicia de la Nación. Derecho de Trabajar. Derechos individuales del </w:t>
      </w:r>
      <w:r w:rsidR="001E64E4" w:rsidRPr="007A5D1A">
        <w:rPr>
          <w:lang w:val="es-AR"/>
        </w:rPr>
        <w:lastRenderedPageBreak/>
        <w:t>trabajador. Derechos Gremiales. Derechos de la Seguridad Social. Derecho a la Salud. Derecho al acceso a una vivienda digna. Dere</w:t>
      </w:r>
      <w:r w:rsidR="006D1C0D">
        <w:rPr>
          <w:lang w:val="es-AR"/>
        </w:rPr>
        <w:t>chos de los Pueblos Originarios</w:t>
      </w:r>
      <w:r w:rsidR="001E64E4" w:rsidRPr="007A5D1A">
        <w:rPr>
          <w:lang w:val="es-AR"/>
        </w:rPr>
        <w:t xml:space="preserve"> </w:t>
      </w:r>
    </w:p>
    <w:p w:rsidR="00D77642" w:rsidRPr="007A5D1A" w:rsidRDefault="003A1A44" w:rsidP="00517299">
      <w:pPr>
        <w:spacing w:line="360" w:lineRule="auto"/>
        <w:rPr>
          <w:lang w:val="es-AR"/>
        </w:rPr>
      </w:pPr>
      <w:r>
        <w:rPr>
          <w:lang w:val="es-AR"/>
        </w:rPr>
        <w:t>18</w:t>
      </w:r>
      <w:r w:rsidR="00D77642">
        <w:rPr>
          <w:lang w:val="es-AR"/>
        </w:rPr>
        <w:t>. El Constitucionalismo Social en el Derecho Público Provincial</w:t>
      </w:r>
      <w:r w:rsidR="006D1C0D">
        <w:rPr>
          <w:lang w:val="es-AR"/>
        </w:rPr>
        <w:t>. La Constitución de la Ciudad Autónoma de Buenos Aires</w:t>
      </w:r>
    </w:p>
    <w:sectPr w:rsidR="00D77642" w:rsidRPr="007A5D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137DD"/>
    <w:multiLevelType w:val="hybridMultilevel"/>
    <w:tmpl w:val="623E44F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27B67"/>
    <w:multiLevelType w:val="hybridMultilevel"/>
    <w:tmpl w:val="A1DC1E46"/>
    <w:lvl w:ilvl="0" w:tplc="E1308F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7B00AAC"/>
    <w:multiLevelType w:val="hybridMultilevel"/>
    <w:tmpl w:val="824E479E"/>
    <w:lvl w:ilvl="0" w:tplc="E1308F3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2548FB"/>
    <w:multiLevelType w:val="hybridMultilevel"/>
    <w:tmpl w:val="B8345442"/>
    <w:lvl w:ilvl="0" w:tplc="C68C67B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1F0C05"/>
    <w:multiLevelType w:val="hybridMultilevel"/>
    <w:tmpl w:val="D6B219A0"/>
    <w:lvl w:ilvl="0" w:tplc="9704E42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D01D67"/>
    <w:multiLevelType w:val="hybridMultilevel"/>
    <w:tmpl w:val="CBE00260"/>
    <w:lvl w:ilvl="0" w:tplc="E1308F3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F9B"/>
    <w:rsid w:val="00174C08"/>
    <w:rsid w:val="0017765D"/>
    <w:rsid w:val="001E64E4"/>
    <w:rsid w:val="002A477F"/>
    <w:rsid w:val="003A1A44"/>
    <w:rsid w:val="004F7C6A"/>
    <w:rsid w:val="0051205D"/>
    <w:rsid w:val="00517299"/>
    <w:rsid w:val="00543C92"/>
    <w:rsid w:val="006D1C0D"/>
    <w:rsid w:val="007A5D1A"/>
    <w:rsid w:val="007C5F9B"/>
    <w:rsid w:val="00A47A77"/>
    <w:rsid w:val="00B21AA0"/>
    <w:rsid w:val="00D25822"/>
    <w:rsid w:val="00D77642"/>
    <w:rsid w:val="00F5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727B034-5D3B-4509-B806-564B21DB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patricia</dc:creator>
  <cp:keywords/>
  <dc:description/>
  <cp:lastModifiedBy>Javier Ayala</cp:lastModifiedBy>
  <cp:revision>2</cp:revision>
  <dcterms:created xsi:type="dcterms:W3CDTF">2018-08-23T03:18:00Z</dcterms:created>
  <dcterms:modified xsi:type="dcterms:W3CDTF">2018-08-23T03:18:00Z</dcterms:modified>
</cp:coreProperties>
</file>