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385" w:rsidRPr="00872B3D" w:rsidRDefault="00023385" w:rsidP="000C5938">
      <w:pPr>
        <w:jc w:val="center"/>
        <w:rPr>
          <w:rFonts w:asciiTheme="majorHAnsi" w:hAnsiTheme="majorHAnsi"/>
          <w:b/>
          <w:sz w:val="28"/>
          <w:szCs w:val="28"/>
          <w:u w:val="double"/>
        </w:rPr>
      </w:pPr>
      <w:r w:rsidRPr="00872B3D">
        <w:rPr>
          <w:rFonts w:asciiTheme="majorHAnsi" w:hAnsiTheme="majorHAnsi"/>
          <w:b/>
          <w:sz w:val="28"/>
          <w:szCs w:val="28"/>
          <w:u w:val="double"/>
        </w:rPr>
        <w:t>I</w:t>
      </w:r>
      <w:r w:rsidR="000C5938" w:rsidRPr="00872B3D">
        <w:rPr>
          <w:rFonts w:asciiTheme="majorHAnsi" w:hAnsiTheme="majorHAnsi"/>
          <w:b/>
          <w:sz w:val="28"/>
          <w:szCs w:val="28"/>
          <w:u w:val="double"/>
        </w:rPr>
        <w:t>nstituciones de Derecho Público</w:t>
      </w:r>
    </w:p>
    <w:p w:rsidR="0065366F" w:rsidRDefault="00023385" w:rsidP="00872B3D">
      <w:pPr>
        <w:jc w:val="center"/>
        <w:rPr>
          <w:rFonts w:asciiTheme="majorHAnsi" w:hAnsiTheme="majorHAnsi"/>
          <w:b/>
          <w:sz w:val="28"/>
          <w:szCs w:val="28"/>
        </w:rPr>
      </w:pPr>
      <w:r w:rsidRPr="00872B3D">
        <w:rPr>
          <w:rFonts w:asciiTheme="majorHAnsi" w:hAnsiTheme="majorHAnsi"/>
          <w:b/>
          <w:sz w:val="28"/>
          <w:szCs w:val="28"/>
        </w:rPr>
        <w:t>Trabajo práctico integrador</w:t>
      </w:r>
    </w:p>
    <w:p w:rsidR="00872B3D" w:rsidRPr="00872B3D" w:rsidRDefault="00872B3D" w:rsidP="00872B3D">
      <w:pPr>
        <w:jc w:val="center"/>
        <w:rPr>
          <w:rFonts w:asciiTheme="majorHAnsi" w:hAnsiTheme="majorHAnsi"/>
          <w:b/>
          <w:sz w:val="28"/>
          <w:szCs w:val="28"/>
        </w:rPr>
      </w:pPr>
    </w:p>
    <w:p w:rsidR="000C5938" w:rsidRPr="000C5938" w:rsidRDefault="00023385">
      <w:pPr>
        <w:rPr>
          <w:rFonts w:asciiTheme="majorHAnsi" w:hAnsiTheme="majorHAnsi"/>
        </w:rPr>
      </w:pPr>
      <w:r w:rsidRPr="000C5938">
        <w:rPr>
          <w:rFonts w:asciiTheme="majorHAnsi" w:hAnsiTheme="majorHAnsi"/>
        </w:rPr>
        <w:t>Para la evaluación del curso, deberá</w:t>
      </w:r>
      <w:r w:rsidR="000C5938" w:rsidRPr="000C5938">
        <w:rPr>
          <w:rFonts w:asciiTheme="majorHAnsi" w:hAnsiTheme="majorHAnsi"/>
        </w:rPr>
        <w:t xml:space="preserve"> realizar el siguiente trabajo, utilizando la bibliografía del curso y el material del caso “Blanco”. </w:t>
      </w:r>
    </w:p>
    <w:p w:rsidR="000C5938" w:rsidRPr="000C5938" w:rsidRDefault="00AC4017">
      <w:pPr>
        <w:rPr>
          <w:rFonts w:asciiTheme="majorHAnsi" w:hAnsiTheme="majorHAnsi"/>
        </w:rPr>
      </w:pPr>
      <w:hyperlink r:id="rId8" w:history="1">
        <w:r w:rsidR="000C5938" w:rsidRPr="000C5938">
          <w:rPr>
            <w:rStyle w:val="Hipervnculo"/>
            <w:rFonts w:asciiTheme="majorHAnsi" w:hAnsiTheme="majorHAnsi"/>
          </w:rPr>
          <w:t>https://radiocut.fm/audiocut/entrevista-a-miguel-fernandez-pastor-especialista-en-temas-previsionales/</w:t>
        </w:r>
      </w:hyperlink>
    </w:p>
    <w:p w:rsidR="000C5938" w:rsidRPr="000C5938" w:rsidRDefault="000C5938">
      <w:pPr>
        <w:rPr>
          <w:rFonts w:asciiTheme="majorHAnsi" w:hAnsiTheme="majorHAnsi"/>
        </w:rPr>
      </w:pPr>
      <w:r w:rsidRPr="000C5938">
        <w:rPr>
          <w:rFonts w:asciiTheme="majorHAnsi" w:hAnsiTheme="majorHAnsi"/>
        </w:rPr>
        <w:t xml:space="preserve">Fallo Blanco: CSS 42272/2012/CS1-CA1 Blanco, Lucio Orlando c/ </w:t>
      </w:r>
      <w:proofErr w:type="spellStart"/>
      <w:r w:rsidRPr="000C5938">
        <w:rPr>
          <w:rFonts w:asciiTheme="majorHAnsi" w:hAnsiTheme="majorHAnsi"/>
        </w:rPr>
        <w:t>ANSeS</w:t>
      </w:r>
      <w:proofErr w:type="spellEnd"/>
      <w:r w:rsidRPr="000C5938">
        <w:rPr>
          <w:rFonts w:asciiTheme="majorHAnsi" w:hAnsiTheme="majorHAnsi"/>
        </w:rPr>
        <w:t xml:space="preserve"> s/ reajustes varios.</w:t>
      </w:r>
    </w:p>
    <w:p w:rsidR="000C5938" w:rsidRPr="000C5938" w:rsidRDefault="000C5938">
      <w:pPr>
        <w:rPr>
          <w:rFonts w:asciiTheme="majorHAnsi" w:hAnsiTheme="majorHAnsi"/>
        </w:rPr>
      </w:pPr>
      <w:r w:rsidRPr="000C5938">
        <w:rPr>
          <w:rFonts w:asciiTheme="majorHAnsi" w:hAnsiTheme="majorHAnsi"/>
        </w:rPr>
        <w:t xml:space="preserve">Acceso: </w:t>
      </w:r>
      <w:hyperlink r:id="rId9" w:history="1">
        <w:r w:rsidRPr="000C5938">
          <w:rPr>
            <w:rStyle w:val="Hipervnculo"/>
            <w:rFonts w:asciiTheme="majorHAnsi" w:hAnsiTheme="majorHAnsi"/>
          </w:rPr>
          <w:t>https://www.cij.gov.ar/nota-32887-PREVISIONAL---La-Corte-Suprema-falla-a-favor-de-los-jubilados.html</w:t>
        </w:r>
      </w:hyperlink>
    </w:p>
    <w:p w:rsidR="000C5938" w:rsidRDefault="00AC4017">
      <w:pPr>
        <w:rPr>
          <w:rFonts w:asciiTheme="majorHAnsi" w:hAnsiTheme="majorHAnsi"/>
        </w:rPr>
      </w:pPr>
      <w:hyperlink r:id="rId10" w:history="1">
        <w:r w:rsidR="005562AD" w:rsidRPr="007845F4">
          <w:rPr>
            <w:rStyle w:val="Hipervnculo"/>
            <w:rFonts w:asciiTheme="majorHAnsi" w:hAnsiTheme="majorHAnsi"/>
          </w:rPr>
          <w:t>https://www.pagina12.com.ar/150222-la-corte-ya-tiene-su-nuevo-caso-badaro</w:t>
        </w:r>
      </w:hyperlink>
    </w:p>
    <w:p w:rsidR="00E50C09" w:rsidRDefault="00AC4017">
      <w:pPr>
        <w:rPr>
          <w:rFonts w:asciiTheme="majorHAnsi" w:hAnsiTheme="majorHAnsi"/>
        </w:rPr>
      </w:pPr>
      <w:hyperlink r:id="rId11" w:history="1">
        <w:r w:rsidR="00E50C09" w:rsidRPr="007845F4">
          <w:rPr>
            <w:rStyle w:val="Hipervnculo"/>
            <w:rFonts w:asciiTheme="majorHAnsi" w:hAnsiTheme="majorHAnsi"/>
          </w:rPr>
          <w:t>https://www.ambito.com/gobierno-teme-fallo-adverso-100000-m-caso-badaro-2-n4037951</w:t>
        </w:r>
      </w:hyperlink>
    </w:p>
    <w:p w:rsidR="00415675" w:rsidRDefault="00AC4017">
      <w:pPr>
        <w:rPr>
          <w:rStyle w:val="Hipervnculo"/>
          <w:rFonts w:asciiTheme="majorHAnsi" w:hAnsiTheme="majorHAnsi"/>
        </w:rPr>
      </w:pPr>
      <w:hyperlink r:id="rId12" w:history="1">
        <w:r w:rsidR="00415675" w:rsidRPr="007845F4">
          <w:rPr>
            <w:rStyle w:val="Hipervnculo"/>
            <w:rFonts w:asciiTheme="majorHAnsi" w:hAnsiTheme="majorHAnsi"/>
          </w:rPr>
          <w:t>https://www.clarin.com/economia/economia/jubilados-todavia-300-000-juicios-sentencia-favorable-anses-debe-pagar_0_HJLCeYHM7.html</w:t>
        </w:r>
      </w:hyperlink>
    </w:p>
    <w:p w:rsidR="00D65FD2" w:rsidRDefault="00D65FD2">
      <w:pPr>
        <w:rPr>
          <w:rFonts w:asciiTheme="majorHAnsi" w:hAnsiTheme="majorHAnsi"/>
        </w:rPr>
      </w:pPr>
    </w:p>
    <w:p w:rsidR="005562AD" w:rsidRDefault="005562AD">
      <w:pPr>
        <w:rPr>
          <w:rFonts w:asciiTheme="majorHAnsi" w:hAnsiTheme="majorHAnsi"/>
        </w:rPr>
      </w:pPr>
      <w:r>
        <w:rPr>
          <w:rFonts w:asciiTheme="majorHAnsi" w:hAnsiTheme="majorHAnsi"/>
        </w:rPr>
        <w:t xml:space="preserve">LEYES A CONSIDERAR: </w:t>
      </w:r>
    </w:p>
    <w:p w:rsidR="005562AD" w:rsidRDefault="005562AD" w:rsidP="005562AD">
      <w:pPr>
        <w:pStyle w:val="Prrafodelista"/>
        <w:numPr>
          <w:ilvl w:val="0"/>
          <w:numId w:val="4"/>
        </w:numPr>
        <w:rPr>
          <w:rFonts w:asciiTheme="majorHAnsi" w:hAnsiTheme="majorHAnsi"/>
        </w:rPr>
      </w:pPr>
      <w:r w:rsidRPr="005562AD">
        <w:rPr>
          <w:rFonts w:asciiTheme="majorHAnsi" w:hAnsiTheme="majorHAnsi"/>
        </w:rPr>
        <w:t>24</w:t>
      </w:r>
      <w:r w:rsidR="00D6235C">
        <w:rPr>
          <w:rFonts w:asciiTheme="majorHAnsi" w:hAnsiTheme="majorHAnsi"/>
        </w:rPr>
        <w:t>.</w:t>
      </w:r>
      <w:r w:rsidRPr="005562AD">
        <w:rPr>
          <w:rFonts w:asciiTheme="majorHAnsi" w:hAnsiTheme="majorHAnsi"/>
        </w:rPr>
        <w:t>241</w:t>
      </w:r>
      <w:r>
        <w:rPr>
          <w:rFonts w:asciiTheme="majorHAnsi" w:hAnsiTheme="majorHAnsi"/>
        </w:rPr>
        <w:t xml:space="preserve"> (Sistema Integrado de Jubilaciones y Pensiones – 1993)</w:t>
      </w:r>
    </w:p>
    <w:p w:rsidR="005562AD" w:rsidRDefault="005562AD" w:rsidP="005562AD">
      <w:pPr>
        <w:pStyle w:val="Prrafodelista"/>
        <w:numPr>
          <w:ilvl w:val="0"/>
          <w:numId w:val="4"/>
        </w:numPr>
        <w:rPr>
          <w:rFonts w:asciiTheme="majorHAnsi" w:hAnsiTheme="majorHAnsi"/>
        </w:rPr>
      </w:pPr>
      <w:r w:rsidRPr="005562AD">
        <w:rPr>
          <w:rFonts w:asciiTheme="majorHAnsi" w:hAnsiTheme="majorHAnsi"/>
        </w:rPr>
        <w:t>26</w:t>
      </w:r>
      <w:r w:rsidR="00D6235C">
        <w:rPr>
          <w:rFonts w:asciiTheme="majorHAnsi" w:hAnsiTheme="majorHAnsi"/>
        </w:rPr>
        <w:t>.</w:t>
      </w:r>
      <w:r w:rsidRPr="005562AD">
        <w:rPr>
          <w:rFonts w:asciiTheme="majorHAnsi" w:hAnsiTheme="majorHAnsi"/>
        </w:rPr>
        <w:t>417</w:t>
      </w:r>
      <w:r>
        <w:rPr>
          <w:rFonts w:asciiTheme="majorHAnsi" w:hAnsiTheme="majorHAnsi"/>
        </w:rPr>
        <w:t xml:space="preserve"> (Cálculo de movilidad y Haber Inicial – 2008)</w:t>
      </w:r>
    </w:p>
    <w:p w:rsidR="005562AD" w:rsidRDefault="005562AD" w:rsidP="005562AD">
      <w:pPr>
        <w:pStyle w:val="Prrafodelista"/>
        <w:numPr>
          <w:ilvl w:val="0"/>
          <w:numId w:val="4"/>
        </w:numPr>
        <w:rPr>
          <w:rFonts w:asciiTheme="majorHAnsi" w:hAnsiTheme="majorHAnsi"/>
        </w:rPr>
      </w:pPr>
      <w:r>
        <w:rPr>
          <w:rFonts w:asciiTheme="majorHAnsi" w:hAnsiTheme="majorHAnsi"/>
        </w:rPr>
        <w:t>26</w:t>
      </w:r>
      <w:r w:rsidR="00D6235C">
        <w:rPr>
          <w:rFonts w:asciiTheme="majorHAnsi" w:hAnsiTheme="majorHAnsi"/>
        </w:rPr>
        <w:t>.</w:t>
      </w:r>
      <w:r>
        <w:rPr>
          <w:rFonts w:asciiTheme="majorHAnsi" w:hAnsiTheme="majorHAnsi"/>
        </w:rPr>
        <w:t>425 (Estatización de las AFJP -2008)</w:t>
      </w:r>
    </w:p>
    <w:p w:rsidR="005562AD" w:rsidRDefault="005562AD" w:rsidP="005562AD">
      <w:pPr>
        <w:pStyle w:val="Prrafodelista"/>
        <w:numPr>
          <w:ilvl w:val="0"/>
          <w:numId w:val="4"/>
        </w:numPr>
        <w:rPr>
          <w:rFonts w:asciiTheme="majorHAnsi" w:hAnsiTheme="majorHAnsi"/>
        </w:rPr>
      </w:pPr>
      <w:r w:rsidRPr="005562AD">
        <w:rPr>
          <w:rFonts w:asciiTheme="majorHAnsi" w:hAnsiTheme="majorHAnsi"/>
        </w:rPr>
        <w:t>27</w:t>
      </w:r>
      <w:r w:rsidR="00D6235C">
        <w:rPr>
          <w:rFonts w:asciiTheme="majorHAnsi" w:hAnsiTheme="majorHAnsi"/>
        </w:rPr>
        <w:t>.</w:t>
      </w:r>
      <w:r w:rsidRPr="005562AD">
        <w:rPr>
          <w:rFonts w:asciiTheme="majorHAnsi" w:hAnsiTheme="majorHAnsi"/>
        </w:rPr>
        <w:t>260</w:t>
      </w:r>
      <w:r>
        <w:rPr>
          <w:rFonts w:asciiTheme="majorHAnsi" w:hAnsiTheme="majorHAnsi"/>
        </w:rPr>
        <w:t xml:space="preserve"> (Ley de “Reparación Histórica” - 2016)</w:t>
      </w:r>
    </w:p>
    <w:p w:rsidR="005562AD" w:rsidRPr="005562AD" w:rsidRDefault="005562AD" w:rsidP="005562AD">
      <w:pPr>
        <w:pStyle w:val="Prrafodelista"/>
        <w:numPr>
          <w:ilvl w:val="0"/>
          <w:numId w:val="4"/>
        </w:numPr>
        <w:rPr>
          <w:rFonts w:asciiTheme="majorHAnsi" w:hAnsiTheme="majorHAnsi"/>
        </w:rPr>
      </w:pPr>
      <w:r w:rsidRPr="005562AD">
        <w:rPr>
          <w:rFonts w:asciiTheme="majorHAnsi" w:hAnsiTheme="majorHAnsi"/>
        </w:rPr>
        <w:t>27</w:t>
      </w:r>
      <w:r w:rsidR="00D6235C">
        <w:rPr>
          <w:rFonts w:asciiTheme="majorHAnsi" w:hAnsiTheme="majorHAnsi"/>
        </w:rPr>
        <w:t>.</w:t>
      </w:r>
      <w:r w:rsidRPr="005562AD">
        <w:rPr>
          <w:rFonts w:asciiTheme="majorHAnsi" w:hAnsiTheme="majorHAnsi"/>
        </w:rPr>
        <w:t>426</w:t>
      </w:r>
      <w:r>
        <w:rPr>
          <w:rFonts w:asciiTheme="majorHAnsi" w:hAnsiTheme="majorHAnsi"/>
        </w:rPr>
        <w:t xml:space="preserve"> (Nuevo cálculo de Movilidad Jubilatoria, Pensi</w:t>
      </w:r>
      <w:r w:rsidR="00D65FD2">
        <w:rPr>
          <w:rFonts w:asciiTheme="majorHAnsi" w:hAnsiTheme="majorHAnsi"/>
        </w:rPr>
        <w:t>ones, AUH y P</w:t>
      </w:r>
      <w:r>
        <w:rPr>
          <w:rFonts w:asciiTheme="majorHAnsi" w:hAnsiTheme="majorHAnsi"/>
        </w:rPr>
        <w:t>rogramas sociales – 2017)</w:t>
      </w:r>
      <w:r w:rsidRPr="005562AD">
        <w:rPr>
          <w:rFonts w:asciiTheme="majorHAnsi" w:hAnsiTheme="majorHAnsi"/>
        </w:rPr>
        <w:t>.</w:t>
      </w:r>
    </w:p>
    <w:p w:rsidR="000C5938" w:rsidRDefault="00D6235C">
      <w:pPr>
        <w:rPr>
          <w:rFonts w:asciiTheme="majorHAnsi" w:hAnsiTheme="majorHAnsi"/>
        </w:rPr>
      </w:pPr>
      <w:r>
        <w:rPr>
          <w:rFonts w:asciiTheme="majorHAnsi" w:hAnsiTheme="majorHAnsi"/>
        </w:rPr>
        <w:t xml:space="preserve">El material sugerido NO </w:t>
      </w:r>
      <w:r w:rsidR="000C5938" w:rsidRPr="000C5938">
        <w:rPr>
          <w:rFonts w:asciiTheme="majorHAnsi" w:hAnsiTheme="majorHAnsi"/>
        </w:rPr>
        <w:t>es excluyente. Será positivamente valorado</w:t>
      </w:r>
      <w:r>
        <w:rPr>
          <w:rFonts w:asciiTheme="majorHAnsi" w:hAnsiTheme="majorHAnsi"/>
        </w:rPr>
        <w:t xml:space="preserve"> en la evaluación del trabajo</w:t>
      </w:r>
      <w:r w:rsidR="000C5938" w:rsidRPr="000C5938">
        <w:rPr>
          <w:rFonts w:asciiTheme="majorHAnsi" w:hAnsiTheme="majorHAnsi"/>
        </w:rPr>
        <w:t xml:space="preserve"> el aporte de material, sea periodístico, bibliográfico, etc., que no esté entre lo sugerido.</w:t>
      </w:r>
    </w:p>
    <w:p w:rsidR="0032244E" w:rsidRPr="0032244E" w:rsidRDefault="0032244E">
      <w:pPr>
        <w:rPr>
          <w:rFonts w:asciiTheme="majorHAnsi" w:hAnsiTheme="majorHAnsi"/>
          <w:b/>
        </w:rPr>
      </w:pPr>
      <w:r w:rsidRPr="0032244E">
        <w:rPr>
          <w:rFonts w:asciiTheme="majorHAnsi" w:hAnsiTheme="majorHAnsi"/>
          <w:b/>
        </w:rPr>
        <w:t>Cronograma</w:t>
      </w:r>
    </w:p>
    <w:p w:rsidR="0032244E" w:rsidRDefault="0032244E">
      <w:pPr>
        <w:rPr>
          <w:rFonts w:asciiTheme="majorHAnsi" w:hAnsiTheme="majorHAnsi"/>
        </w:rPr>
      </w:pPr>
      <w:r>
        <w:rPr>
          <w:rFonts w:asciiTheme="majorHAnsi" w:hAnsiTheme="majorHAnsi"/>
        </w:rPr>
        <w:t xml:space="preserve">Fecha de entrega (vía mail): </w:t>
      </w:r>
      <w:r w:rsidR="00093B93">
        <w:rPr>
          <w:rFonts w:asciiTheme="majorHAnsi" w:hAnsiTheme="majorHAnsi"/>
        </w:rPr>
        <w:t>4</w:t>
      </w:r>
      <w:r>
        <w:rPr>
          <w:rFonts w:asciiTheme="majorHAnsi" w:hAnsiTheme="majorHAnsi"/>
        </w:rPr>
        <w:t xml:space="preserve"> de </w:t>
      </w:r>
      <w:r w:rsidR="00093B93">
        <w:rPr>
          <w:rFonts w:asciiTheme="majorHAnsi" w:hAnsiTheme="majorHAnsi"/>
        </w:rPr>
        <w:t>Marzo</w:t>
      </w:r>
      <w:r>
        <w:rPr>
          <w:rFonts w:asciiTheme="majorHAnsi" w:hAnsiTheme="majorHAnsi"/>
        </w:rPr>
        <w:t xml:space="preserve"> de 2019</w:t>
      </w:r>
    </w:p>
    <w:p w:rsidR="00872B3D" w:rsidRPr="0032244E" w:rsidRDefault="00872B3D">
      <w:pPr>
        <w:rPr>
          <w:rFonts w:asciiTheme="majorHAnsi" w:hAnsiTheme="majorHAnsi"/>
        </w:rPr>
      </w:pPr>
    </w:p>
    <w:p w:rsidR="00023385" w:rsidRPr="000C5938" w:rsidRDefault="00023385">
      <w:pPr>
        <w:rPr>
          <w:rFonts w:asciiTheme="majorHAnsi" w:hAnsiTheme="majorHAnsi"/>
          <w:b/>
        </w:rPr>
      </w:pPr>
      <w:r w:rsidRPr="000C5938">
        <w:rPr>
          <w:rFonts w:asciiTheme="majorHAnsi" w:hAnsiTheme="majorHAnsi"/>
          <w:b/>
        </w:rPr>
        <w:t>Consignas</w:t>
      </w:r>
    </w:p>
    <w:p w:rsidR="00023385" w:rsidRDefault="00023385" w:rsidP="00872B3D">
      <w:pPr>
        <w:pStyle w:val="Prrafodelista"/>
        <w:numPr>
          <w:ilvl w:val="0"/>
          <w:numId w:val="1"/>
        </w:numPr>
        <w:jc w:val="both"/>
        <w:rPr>
          <w:rFonts w:asciiTheme="majorHAnsi" w:hAnsiTheme="majorHAnsi"/>
        </w:rPr>
      </w:pPr>
      <w:r w:rsidRPr="000C5938">
        <w:rPr>
          <w:rFonts w:asciiTheme="majorHAnsi" w:hAnsiTheme="majorHAnsi"/>
        </w:rPr>
        <w:t>Explique brevemente el caso Blanco.</w:t>
      </w:r>
      <w:r w:rsidR="00D65FD2">
        <w:rPr>
          <w:rFonts w:asciiTheme="majorHAnsi" w:hAnsiTheme="majorHAnsi"/>
        </w:rPr>
        <w:t xml:space="preserve"> Quienes son las partes en el juicio y qué pretende cada una.</w:t>
      </w:r>
    </w:p>
    <w:p w:rsidR="00872B3D" w:rsidRDefault="00872B3D" w:rsidP="00872B3D">
      <w:pPr>
        <w:pStyle w:val="Prrafodelista"/>
        <w:jc w:val="both"/>
        <w:rPr>
          <w:rFonts w:asciiTheme="majorHAnsi" w:hAnsiTheme="majorHAnsi"/>
        </w:rPr>
      </w:pPr>
    </w:p>
    <w:p w:rsidR="007F4E6A" w:rsidRDefault="00D65FD2" w:rsidP="007F4E6A">
      <w:pPr>
        <w:pStyle w:val="Prrafodelista"/>
        <w:numPr>
          <w:ilvl w:val="0"/>
          <w:numId w:val="1"/>
        </w:numPr>
        <w:jc w:val="both"/>
        <w:rPr>
          <w:rFonts w:asciiTheme="majorHAnsi" w:hAnsiTheme="majorHAnsi"/>
        </w:rPr>
      </w:pPr>
      <w:r>
        <w:rPr>
          <w:rFonts w:asciiTheme="majorHAnsi" w:hAnsiTheme="majorHAnsi"/>
        </w:rPr>
        <w:t>Sintetice las disposiciones constitucionales, de Tratados Internacionales, leyes nacionales, y disposiciones y reglamentaciones emanadas por el Poder Ejecutivo y sus organismos centralizados y descentralizados, involucrados en el fallo del caso Blanco.</w:t>
      </w:r>
    </w:p>
    <w:p w:rsidR="007F4E6A" w:rsidRPr="007F4E6A" w:rsidRDefault="007F4E6A" w:rsidP="007F4E6A">
      <w:pPr>
        <w:pStyle w:val="Prrafodelista"/>
        <w:jc w:val="both"/>
        <w:rPr>
          <w:rFonts w:asciiTheme="majorHAnsi" w:hAnsiTheme="majorHAnsi"/>
        </w:rPr>
      </w:pPr>
    </w:p>
    <w:p w:rsidR="00757E9E" w:rsidRDefault="00D65FD2" w:rsidP="00872B3D">
      <w:pPr>
        <w:pStyle w:val="Prrafodelista"/>
        <w:numPr>
          <w:ilvl w:val="0"/>
          <w:numId w:val="1"/>
        </w:numPr>
        <w:jc w:val="both"/>
        <w:rPr>
          <w:rFonts w:asciiTheme="majorHAnsi" w:hAnsiTheme="majorHAnsi"/>
        </w:rPr>
      </w:pPr>
      <w:r w:rsidRPr="00EE019D">
        <w:rPr>
          <w:rFonts w:asciiTheme="majorHAnsi" w:hAnsiTheme="majorHAnsi"/>
        </w:rPr>
        <w:lastRenderedPageBreak/>
        <w:t>El fundamento que motiva la respuesta de los jueces de la Corte Suprema en el fallo, es la jerarquía de las normas que establece la Supremacía C</w:t>
      </w:r>
      <w:r w:rsidR="00023385" w:rsidRPr="00EE019D">
        <w:rPr>
          <w:rFonts w:asciiTheme="majorHAnsi" w:hAnsiTheme="majorHAnsi"/>
        </w:rPr>
        <w:t xml:space="preserve">onstitucional. </w:t>
      </w:r>
      <w:r w:rsidR="00EE019D" w:rsidRPr="00EE019D">
        <w:rPr>
          <w:rFonts w:asciiTheme="majorHAnsi" w:hAnsiTheme="majorHAnsi"/>
        </w:rPr>
        <w:t xml:space="preserve">Indique en qué artículos de la Constitución se establece la jerarquía constitucional. </w:t>
      </w:r>
      <w:r w:rsidRPr="00EE019D">
        <w:rPr>
          <w:rFonts w:asciiTheme="majorHAnsi" w:hAnsiTheme="majorHAnsi"/>
        </w:rPr>
        <w:t xml:space="preserve">La pregunta es: ¿Qué es la Supremacía Constitucional? Puede realizar un gráfico para ayudarse a entender el concepto. </w:t>
      </w:r>
    </w:p>
    <w:p w:rsidR="00872B3D" w:rsidRPr="00EE019D" w:rsidRDefault="00872B3D" w:rsidP="00872B3D">
      <w:pPr>
        <w:pStyle w:val="Prrafodelista"/>
        <w:jc w:val="both"/>
        <w:rPr>
          <w:rFonts w:asciiTheme="majorHAnsi" w:hAnsiTheme="majorHAnsi"/>
        </w:rPr>
      </w:pPr>
    </w:p>
    <w:p w:rsidR="00023385" w:rsidRDefault="00023385" w:rsidP="00872B3D">
      <w:pPr>
        <w:pStyle w:val="Prrafodelista"/>
        <w:numPr>
          <w:ilvl w:val="0"/>
          <w:numId w:val="1"/>
        </w:numPr>
        <w:jc w:val="both"/>
        <w:rPr>
          <w:rFonts w:asciiTheme="majorHAnsi" w:hAnsiTheme="majorHAnsi"/>
        </w:rPr>
      </w:pPr>
      <w:r w:rsidRPr="000C5938">
        <w:rPr>
          <w:rFonts w:asciiTheme="majorHAnsi" w:hAnsiTheme="majorHAnsi"/>
        </w:rPr>
        <w:t xml:space="preserve">Explique la relación entre las normas y si los </w:t>
      </w:r>
      <w:r w:rsidR="00D65FD2">
        <w:rPr>
          <w:rFonts w:asciiTheme="majorHAnsi" w:hAnsiTheme="majorHAnsi"/>
        </w:rPr>
        <w:t>jueces</w:t>
      </w:r>
      <w:r w:rsidRPr="000C5938">
        <w:rPr>
          <w:rFonts w:asciiTheme="majorHAnsi" w:hAnsiTheme="majorHAnsi"/>
        </w:rPr>
        <w:t xml:space="preserve"> de la CSJN respetaron la supremacía constitucional</w:t>
      </w:r>
      <w:r w:rsidR="000C5938" w:rsidRPr="000C5938">
        <w:rPr>
          <w:rFonts w:asciiTheme="majorHAnsi" w:hAnsiTheme="majorHAnsi"/>
        </w:rPr>
        <w:t>.</w:t>
      </w:r>
      <w:r w:rsidR="00D65FD2">
        <w:rPr>
          <w:rFonts w:asciiTheme="majorHAnsi" w:hAnsiTheme="majorHAnsi"/>
        </w:rPr>
        <w:t xml:space="preserve"> ¿Cuáles d</w:t>
      </w:r>
      <w:r w:rsidR="00D6235C">
        <w:rPr>
          <w:rFonts w:asciiTheme="majorHAnsi" w:hAnsiTheme="majorHAnsi"/>
        </w:rPr>
        <w:t>isposiciones se impusieron ante</w:t>
      </w:r>
      <w:r w:rsidR="00D65FD2">
        <w:rPr>
          <w:rFonts w:asciiTheme="majorHAnsi" w:hAnsiTheme="majorHAnsi"/>
        </w:rPr>
        <w:t xml:space="preserve"> cuáles otras?</w:t>
      </w:r>
    </w:p>
    <w:p w:rsidR="00872B3D" w:rsidRDefault="00872B3D" w:rsidP="00872B3D">
      <w:pPr>
        <w:pStyle w:val="Prrafodelista"/>
        <w:jc w:val="both"/>
        <w:rPr>
          <w:rFonts w:asciiTheme="majorHAnsi" w:hAnsiTheme="majorHAnsi"/>
        </w:rPr>
      </w:pPr>
    </w:p>
    <w:p w:rsidR="00D6235C" w:rsidRDefault="00D6235C" w:rsidP="00872B3D">
      <w:pPr>
        <w:pStyle w:val="Prrafodelista"/>
        <w:numPr>
          <w:ilvl w:val="0"/>
          <w:numId w:val="1"/>
        </w:numPr>
        <w:jc w:val="both"/>
        <w:rPr>
          <w:rFonts w:asciiTheme="majorHAnsi" w:hAnsiTheme="majorHAnsi"/>
        </w:rPr>
      </w:pPr>
      <w:r>
        <w:rPr>
          <w:rFonts w:asciiTheme="majorHAnsi" w:hAnsiTheme="majorHAnsi"/>
        </w:rPr>
        <w:t>¿Cómo se conforma la CSJN y cuáles fueron los cambios recientes que permitieron llegar a la conformación actual?</w:t>
      </w:r>
    </w:p>
    <w:p w:rsidR="00872B3D" w:rsidRPr="00D6235C" w:rsidRDefault="00872B3D" w:rsidP="00872B3D">
      <w:pPr>
        <w:pStyle w:val="Prrafodelista"/>
        <w:jc w:val="both"/>
        <w:rPr>
          <w:rFonts w:asciiTheme="majorHAnsi" w:hAnsiTheme="majorHAnsi"/>
        </w:rPr>
      </w:pPr>
    </w:p>
    <w:p w:rsidR="000C5938" w:rsidRDefault="00D65FD2" w:rsidP="00872B3D">
      <w:pPr>
        <w:pStyle w:val="Prrafodelista"/>
        <w:numPr>
          <w:ilvl w:val="0"/>
          <w:numId w:val="1"/>
        </w:numPr>
        <w:jc w:val="both"/>
        <w:rPr>
          <w:rFonts w:asciiTheme="majorHAnsi" w:hAnsiTheme="majorHAnsi"/>
        </w:rPr>
      </w:pPr>
      <w:r>
        <w:rPr>
          <w:rFonts w:asciiTheme="majorHAnsi" w:hAnsiTheme="majorHAnsi"/>
        </w:rPr>
        <w:t>El mecanismo que utiliza el Poder Judicial para poder decidir se denomina “Control de C</w:t>
      </w:r>
      <w:r w:rsidR="000C5938" w:rsidRPr="000C5938">
        <w:rPr>
          <w:rFonts w:asciiTheme="majorHAnsi" w:hAnsiTheme="majorHAnsi"/>
        </w:rPr>
        <w:t>onstitucionalidad</w:t>
      </w:r>
      <w:r>
        <w:rPr>
          <w:rFonts w:asciiTheme="majorHAnsi" w:hAnsiTheme="majorHAnsi"/>
        </w:rPr>
        <w:t>”</w:t>
      </w:r>
      <w:r w:rsidR="000C5938" w:rsidRPr="000C5938">
        <w:rPr>
          <w:rFonts w:asciiTheme="majorHAnsi" w:hAnsiTheme="majorHAnsi"/>
        </w:rPr>
        <w:t xml:space="preserve">. </w:t>
      </w:r>
      <w:r>
        <w:rPr>
          <w:rFonts w:asciiTheme="majorHAnsi" w:hAnsiTheme="majorHAnsi"/>
        </w:rPr>
        <w:t xml:space="preserve">¿Qué es el “Control de Constitucionalidad? </w:t>
      </w:r>
      <w:r w:rsidR="000C5938" w:rsidRPr="000C5938">
        <w:rPr>
          <w:rFonts w:asciiTheme="majorHAnsi" w:hAnsiTheme="majorHAnsi"/>
        </w:rPr>
        <w:t>Explique características</w:t>
      </w:r>
      <w:r>
        <w:rPr>
          <w:rFonts w:asciiTheme="majorHAnsi" w:hAnsiTheme="majorHAnsi"/>
        </w:rPr>
        <w:t xml:space="preserve"> de mismo</w:t>
      </w:r>
      <w:r w:rsidR="000C5938" w:rsidRPr="000C5938">
        <w:rPr>
          <w:rFonts w:asciiTheme="majorHAnsi" w:hAnsiTheme="majorHAnsi"/>
        </w:rPr>
        <w:t>, vías de acceso y efectos. ¿Cómo se llevó a cabo en el caso Blanco?</w:t>
      </w:r>
    </w:p>
    <w:p w:rsidR="00872B3D" w:rsidRDefault="00872B3D" w:rsidP="00872B3D">
      <w:pPr>
        <w:pStyle w:val="Prrafodelista"/>
        <w:jc w:val="both"/>
        <w:rPr>
          <w:rFonts w:asciiTheme="majorHAnsi" w:hAnsiTheme="majorHAnsi"/>
        </w:rPr>
      </w:pPr>
    </w:p>
    <w:p w:rsidR="00813C9E" w:rsidRDefault="00813C9E" w:rsidP="00872B3D">
      <w:pPr>
        <w:pStyle w:val="Prrafodelista"/>
        <w:numPr>
          <w:ilvl w:val="0"/>
          <w:numId w:val="1"/>
        </w:numPr>
        <w:jc w:val="both"/>
        <w:rPr>
          <w:rFonts w:asciiTheme="majorHAnsi" w:hAnsiTheme="majorHAnsi"/>
        </w:rPr>
      </w:pPr>
      <w:r>
        <w:rPr>
          <w:rFonts w:asciiTheme="majorHAnsi" w:hAnsiTheme="majorHAnsi"/>
        </w:rPr>
        <w:t xml:space="preserve">En cuanto a los efectos de la sentencia de fallo Blanco: </w:t>
      </w:r>
      <w:proofErr w:type="gramStart"/>
      <w:r>
        <w:rPr>
          <w:rFonts w:asciiTheme="majorHAnsi" w:hAnsiTheme="majorHAnsi"/>
        </w:rPr>
        <w:t>¿</w:t>
      </w:r>
      <w:proofErr w:type="gramEnd"/>
      <w:r>
        <w:rPr>
          <w:rFonts w:asciiTheme="majorHAnsi" w:hAnsiTheme="majorHAnsi"/>
        </w:rPr>
        <w:t xml:space="preserve">Cuál es la diferencia entre el voto mayoritario y el voto de la Dra. </w:t>
      </w:r>
      <w:proofErr w:type="spellStart"/>
      <w:r>
        <w:rPr>
          <w:rFonts w:asciiTheme="majorHAnsi" w:hAnsiTheme="majorHAnsi"/>
        </w:rPr>
        <w:t>Higthon</w:t>
      </w:r>
      <w:proofErr w:type="spellEnd"/>
      <w:r>
        <w:rPr>
          <w:rFonts w:asciiTheme="majorHAnsi" w:hAnsiTheme="majorHAnsi"/>
        </w:rPr>
        <w:t xml:space="preserve"> de Nolasco? ¿Qué alcance tiene este fallo? ¿A quienes beneficia? Los beneficiados, ¿tienen que hacer algo para acceder a dicho beneficio? ¿O con solo esperar accederán al mismo?</w:t>
      </w:r>
    </w:p>
    <w:p w:rsidR="00872B3D" w:rsidRDefault="00872B3D" w:rsidP="00872B3D">
      <w:pPr>
        <w:pStyle w:val="Prrafodelista"/>
        <w:jc w:val="both"/>
        <w:rPr>
          <w:rFonts w:asciiTheme="majorHAnsi" w:hAnsiTheme="majorHAnsi"/>
        </w:rPr>
      </w:pPr>
    </w:p>
    <w:p w:rsidR="007067EF" w:rsidRDefault="007067EF" w:rsidP="00872B3D">
      <w:pPr>
        <w:pStyle w:val="Prrafodelista"/>
        <w:numPr>
          <w:ilvl w:val="0"/>
          <w:numId w:val="1"/>
        </w:numPr>
        <w:jc w:val="both"/>
        <w:rPr>
          <w:rFonts w:asciiTheme="majorHAnsi" w:hAnsiTheme="majorHAnsi"/>
        </w:rPr>
      </w:pPr>
      <w:r>
        <w:rPr>
          <w:rFonts w:asciiTheme="majorHAnsi" w:hAnsiTheme="majorHAnsi"/>
        </w:rPr>
        <w:t xml:space="preserve">¿Por qué algunos periodistas, incluido el entrevistado en el audio, dicen que esta sentencia tiene más efectos políticos que económicos?  ¿Qué diferencia hay entre el caso Blanco (ya resuelto) y el caso presentado por el Abogado </w:t>
      </w:r>
      <w:proofErr w:type="spellStart"/>
      <w:r>
        <w:rPr>
          <w:rFonts w:asciiTheme="majorHAnsi" w:hAnsiTheme="majorHAnsi"/>
        </w:rPr>
        <w:t>Previsionalista</w:t>
      </w:r>
      <w:proofErr w:type="spellEnd"/>
      <w:r>
        <w:rPr>
          <w:rFonts w:asciiTheme="majorHAnsi" w:hAnsiTheme="majorHAnsi"/>
        </w:rPr>
        <w:t xml:space="preserve"> y ex funcionario de la gesti</w:t>
      </w:r>
      <w:r w:rsidR="00757E9E">
        <w:rPr>
          <w:rFonts w:asciiTheme="majorHAnsi" w:hAnsiTheme="majorHAnsi"/>
        </w:rPr>
        <w:t>ón gubernamental anterior, Ferná</w:t>
      </w:r>
      <w:r>
        <w:rPr>
          <w:rFonts w:asciiTheme="majorHAnsi" w:hAnsiTheme="majorHAnsi"/>
        </w:rPr>
        <w:t>ndez Pastor, en el que se cuestiona la constitucionalidad de la ley 27426? (</w:t>
      </w:r>
      <w:hyperlink r:id="rId13" w:history="1">
        <w:r w:rsidR="00872B3D" w:rsidRPr="003C7B13">
          <w:rPr>
            <w:rStyle w:val="Hipervnculo"/>
            <w:rFonts w:asciiTheme="majorHAnsi" w:hAnsiTheme="majorHAnsi"/>
          </w:rPr>
          <w:t>https://www.lanacion.com.ar/2141194-declaran-inconstitucional-que-se-haya-aplicado-en-marzo-la-nueva-formula-de-movilidad-jubilatoria</w:t>
        </w:r>
      </w:hyperlink>
      <w:r>
        <w:rPr>
          <w:rFonts w:asciiTheme="majorHAnsi" w:hAnsiTheme="majorHAnsi"/>
        </w:rPr>
        <w:t>)</w:t>
      </w:r>
    </w:p>
    <w:p w:rsidR="00872B3D" w:rsidRDefault="00872B3D" w:rsidP="00872B3D">
      <w:pPr>
        <w:pStyle w:val="Prrafodelista"/>
        <w:jc w:val="both"/>
        <w:rPr>
          <w:rFonts w:asciiTheme="majorHAnsi" w:hAnsiTheme="majorHAnsi"/>
        </w:rPr>
      </w:pPr>
    </w:p>
    <w:p w:rsidR="008450AF" w:rsidRDefault="00B554BF" w:rsidP="008450AF">
      <w:pPr>
        <w:pStyle w:val="Prrafodelista"/>
        <w:numPr>
          <w:ilvl w:val="0"/>
          <w:numId w:val="1"/>
        </w:numPr>
        <w:jc w:val="both"/>
        <w:rPr>
          <w:rFonts w:asciiTheme="majorHAnsi" w:hAnsiTheme="majorHAnsi"/>
        </w:rPr>
      </w:pPr>
      <w:r>
        <w:rPr>
          <w:rFonts w:asciiTheme="majorHAnsi" w:hAnsiTheme="majorHAnsi"/>
        </w:rPr>
        <w:t xml:space="preserve">¿Cuáles son las atribuciones del Poder Legislativo? </w:t>
      </w:r>
      <w:r w:rsidR="00D65FD2">
        <w:rPr>
          <w:rFonts w:asciiTheme="majorHAnsi" w:hAnsiTheme="majorHAnsi"/>
        </w:rPr>
        <w:t>¿Qué dice la C</w:t>
      </w:r>
      <w:r>
        <w:rPr>
          <w:rFonts w:asciiTheme="majorHAnsi" w:hAnsiTheme="majorHAnsi"/>
        </w:rPr>
        <w:t>orte en el fallo al respecto a las funciones legislativas?</w:t>
      </w:r>
      <w:r w:rsidR="007067EF">
        <w:rPr>
          <w:rFonts w:asciiTheme="majorHAnsi" w:hAnsiTheme="majorHAnsi"/>
        </w:rPr>
        <w:t xml:space="preserve"> </w:t>
      </w:r>
      <w:proofErr w:type="gramStart"/>
      <w:r w:rsidR="007067EF">
        <w:rPr>
          <w:rFonts w:asciiTheme="majorHAnsi" w:hAnsiTheme="majorHAnsi"/>
        </w:rPr>
        <w:t>¿</w:t>
      </w:r>
      <w:proofErr w:type="gramEnd"/>
      <w:r w:rsidR="007067EF">
        <w:rPr>
          <w:rFonts w:asciiTheme="majorHAnsi" w:hAnsiTheme="majorHAnsi"/>
        </w:rPr>
        <w:t>Por qué la Corte afirma –</w:t>
      </w:r>
      <w:proofErr w:type="spellStart"/>
      <w:r w:rsidR="007067EF">
        <w:rPr>
          <w:rFonts w:asciiTheme="majorHAnsi" w:hAnsiTheme="majorHAnsi"/>
        </w:rPr>
        <w:t>Consd</w:t>
      </w:r>
      <w:proofErr w:type="spellEnd"/>
      <w:r w:rsidR="007067EF">
        <w:rPr>
          <w:rFonts w:asciiTheme="majorHAnsi" w:hAnsiTheme="majorHAnsi"/>
        </w:rPr>
        <w:t>. 20</w:t>
      </w:r>
      <w:r w:rsidR="00093B93">
        <w:rPr>
          <w:rFonts w:asciiTheme="majorHAnsi" w:hAnsiTheme="majorHAnsi"/>
        </w:rPr>
        <w:t>-</w:t>
      </w:r>
      <w:r w:rsidR="007067EF">
        <w:rPr>
          <w:rFonts w:asciiTheme="majorHAnsi" w:hAnsiTheme="majorHAnsi"/>
        </w:rPr>
        <w:t xml:space="preserve"> que la atribución de fijar los haberes jubilatorios mínimos corresponde al Congreso</w:t>
      </w:r>
      <w:proofErr w:type="gramStart"/>
      <w:r w:rsidR="007067EF">
        <w:rPr>
          <w:rFonts w:asciiTheme="majorHAnsi" w:hAnsiTheme="majorHAnsi"/>
        </w:rPr>
        <w:t>?</w:t>
      </w:r>
      <w:proofErr w:type="gramEnd"/>
      <w:r w:rsidR="007067EF">
        <w:rPr>
          <w:rFonts w:asciiTheme="majorHAnsi" w:hAnsiTheme="majorHAnsi"/>
        </w:rPr>
        <w:t xml:space="preserve"> Y si corresponde al Congreso, ¿no se excede en el ejercicio de sus atribuciones el propio Poder Judicial?</w:t>
      </w:r>
    </w:p>
    <w:p w:rsidR="008450AF" w:rsidRDefault="008450AF" w:rsidP="008450AF">
      <w:pPr>
        <w:pStyle w:val="Prrafodelista"/>
        <w:jc w:val="both"/>
        <w:rPr>
          <w:rFonts w:asciiTheme="majorHAnsi" w:hAnsiTheme="majorHAnsi"/>
        </w:rPr>
      </w:pPr>
    </w:p>
    <w:p w:rsidR="00872B3D" w:rsidRDefault="00D870AE" w:rsidP="008450AF">
      <w:pPr>
        <w:pStyle w:val="Prrafodelista"/>
        <w:numPr>
          <w:ilvl w:val="0"/>
          <w:numId w:val="1"/>
        </w:numPr>
        <w:jc w:val="both"/>
        <w:rPr>
          <w:rFonts w:asciiTheme="majorHAnsi" w:hAnsiTheme="majorHAnsi"/>
        </w:rPr>
      </w:pPr>
      <w:r w:rsidRPr="008450AF">
        <w:rPr>
          <w:rFonts w:asciiTheme="majorHAnsi" w:hAnsiTheme="majorHAnsi"/>
        </w:rPr>
        <w:t xml:space="preserve">La Corte afirma que el constituyente ha otorgado al Congreso el poder de regular la distribución de los beneficios de la seguridad social (Considerando 20). ¿Quién es “el constituyente”? </w:t>
      </w:r>
      <w:r w:rsidR="00093B93">
        <w:rPr>
          <w:rFonts w:asciiTheme="majorHAnsi" w:hAnsiTheme="majorHAnsi"/>
        </w:rPr>
        <w:t>¿Puede cambiar la voluntad del C</w:t>
      </w:r>
      <w:r w:rsidRPr="008450AF">
        <w:rPr>
          <w:rFonts w:asciiTheme="majorHAnsi" w:hAnsiTheme="majorHAnsi"/>
        </w:rPr>
        <w:t>onstituyente</w:t>
      </w:r>
      <w:proofErr w:type="gramStart"/>
      <w:r w:rsidRPr="008450AF">
        <w:rPr>
          <w:rFonts w:asciiTheme="majorHAnsi" w:hAnsiTheme="majorHAnsi"/>
        </w:rPr>
        <w:t>?¿</w:t>
      </w:r>
      <w:proofErr w:type="gramEnd"/>
      <w:r w:rsidRPr="008450AF">
        <w:rPr>
          <w:rFonts w:asciiTheme="majorHAnsi" w:hAnsiTheme="majorHAnsi"/>
        </w:rPr>
        <w:t>Por qué la Corte interpreta “al Constituyente”? ¿Puede hacerlo?</w:t>
      </w:r>
    </w:p>
    <w:p w:rsidR="007F4E6A" w:rsidRDefault="007F4E6A" w:rsidP="007F4E6A">
      <w:pPr>
        <w:pStyle w:val="Prrafodelista"/>
        <w:rPr>
          <w:rFonts w:asciiTheme="majorHAnsi" w:hAnsiTheme="majorHAnsi"/>
        </w:rPr>
      </w:pPr>
    </w:p>
    <w:p w:rsidR="007F4E6A" w:rsidRPr="007F4E6A" w:rsidRDefault="007F4E6A" w:rsidP="007F4E6A">
      <w:pPr>
        <w:pStyle w:val="Prrafodelista"/>
        <w:rPr>
          <w:rFonts w:asciiTheme="majorHAnsi" w:hAnsiTheme="majorHAnsi"/>
        </w:rPr>
      </w:pPr>
    </w:p>
    <w:p w:rsidR="00872B3D" w:rsidRDefault="007F4E6A" w:rsidP="007F4E6A">
      <w:pPr>
        <w:pStyle w:val="Prrafodelista"/>
        <w:numPr>
          <w:ilvl w:val="0"/>
          <w:numId w:val="1"/>
        </w:numPr>
        <w:jc w:val="both"/>
        <w:rPr>
          <w:rFonts w:asciiTheme="majorHAnsi" w:hAnsiTheme="majorHAnsi"/>
        </w:rPr>
      </w:pPr>
      <w:r w:rsidRPr="007F4E6A">
        <w:rPr>
          <w:rFonts w:asciiTheme="majorHAnsi" w:hAnsiTheme="majorHAnsi"/>
        </w:rPr>
        <w:t>En el Considerando 24, la Corte habla de la Igualdad, y la necesidad de acciones positivas para lograrla.</w:t>
      </w:r>
      <w:r w:rsidR="00093B93">
        <w:rPr>
          <w:rFonts w:asciiTheme="majorHAnsi" w:hAnsiTheme="majorHAnsi"/>
        </w:rPr>
        <w:t xml:space="preserve"> </w:t>
      </w:r>
      <w:r w:rsidRPr="007F4E6A">
        <w:rPr>
          <w:rFonts w:asciiTheme="majorHAnsi" w:hAnsiTheme="majorHAnsi"/>
        </w:rPr>
        <w:t>La Igualdad no tuvo el mismo significado a lo largo de la historia. De hecho, los Constituyentes de 1853/60, al redactar nuestra constitución, no tenían en mente el concepto de igualdad que en la actualidad utilizó la Corte. Explique cuáles son las diferencias entre las formas de interpretar la Igualdad en aquél momento y ahora. ¿</w:t>
      </w:r>
      <w:r>
        <w:rPr>
          <w:rFonts w:asciiTheme="majorHAnsi" w:hAnsiTheme="majorHAnsi"/>
        </w:rPr>
        <w:t>En 1853/60, existía la igualdad</w:t>
      </w:r>
      <w:r w:rsidRPr="007F4E6A">
        <w:rPr>
          <w:rFonts w:asciiTheme="majorHAnsi" w:hAnsiTheme="majorHAnsi"/>
        </w:rPr>
        <w:t>? ¿Quiénes eran "los ciudadanos"? ¿Quién era "el pueblo"? ¿es lo mismo la igualdad ante la ley que la igualdad real o efectiva?</w:t>
      </w:r>
    </w:p>
    <w:p w:rsidR="007F4E6A" w:rsidRPr="007F4E6A" w:rsidRDefault="007F4E6A" w:rsidP="007F4E6A">
      <w:pPr>
        <w:pStyle w:val="Prrafodelista"/>
        <w:jc w:val="both"/>
        <w:rPr>
          <w:rFonts w:asciiTheme="majorHAnsi" w:hAnsiTheme="majorHAnsi"/>
        </w:rPr>
      </w:pPr>
    </w:p>
    <w:p w:rsidR="00D6235C" w:rsidRDefault="00D6235C" w:rsidP="00872B3D">
      <w:pPr>
        <w:pStyle w:val="Prrafodelista"/>
        <w:numPr>
          <w:ilvl w:val="0"/>
          <w:numId w:val="1"/>
        </w:numPr>
        <w:jc w:val="both"/>
        <w:rPr>
          <w:rFonts w:asciiTheme="majorHAnsi" w:hAnsiTheme="majorHAnsi"/>
        </w:rPr>
      </w:pPr>
      <w:r w:rsidRPr="00EE019D">
        <w:rPr>
          <w:rFonts w:asciiTheme="majorHAnsi" w:hAnsiTheme="majorHAnsi"/>
        </w:rPr>
        <w:lastRenderedPageBreak/>
        <w:t>Teniendo en cuenta el artículo periodístico “</w:t>
      </w:r>
      <w:r w:rsidR="00154635" w:rsidRPr="00EE019D">
        <w:rPr>
          <w:rFonts w:asciiTheme="majorHAnsi" w:hAnsiTheme="majorHAnsi"/>
        </w:rPr>
        <w:t>La Batalla</w:t>
      </w:r>
      <w:r w:rsidRPr="00EE019D">
        <w:rPr>
          <w:rFonts w:asciiTheme="majorHAnsi" w:hAnsiTheme="majorHAnsi"/>
        </w:rPr>
        <w:t xml:space="preserve"> entre el emperador y el obispo</w:t>
      </w:r>
      <w:r w:rsidR="00EE019D" w:rsidRPr="00EE019D">
        <w:rPr>
          <w:rFonts w:asciiTheme="majorHAnsi" w:hAnsiTheme="majorHAnsi"/>
        </w:rPr>
        <w:t xml:space="preserve"> (https://www.elcohetealaluna.com/la-batalla-entre-el-emperador-y-el-obispo/)</w:t>
      </w:r>
      <w:r w:rsidR="00872B3D">
        <w:rPr>
          <w:rFonts w:asciiTheme="majorHAnsi" w:hAnsiTheme="majorHAnsi"/>
        </w:rPr>
        <w:t>, el prólogo al libro “</w:t>
      </w:r>
      <w:proofErr w:type="spellStart"/>
      <w:r w:rsidR="00872B3D">
        <w:rPr>
          <w:rFonts w:asciiTheme="majorHAnsi" w:hAnsiTheme="majorHAnsi"/>
        </w:rPr>
        <w:t>Macri</w:t>
      </w:r>
      <w:proofErr w:type="spellEnd"/>
      <w:r w:rsidR="00872B3D">
        <w:rPr>
          <w:rFonts w:asciiTheme="majorHAnsi" w:hAnsiTheme="majorHAnsi"/>
        </w:rPr>
        <w:t xml:space="preserve"> lo hizo” (</w:t>
      </w:r>
      <w:hyperlink r:id="rId14" w:history="1">
        <w:r w:rsidR="00872B3D" w:rsidRPr="003C7B13">
          <w:rPr>
            <w:rStyle w:val="Hipervnculo"/>
            <w:rFonts w:asciiTheme="majorHAnsi" w:hAnsiTheme="majorHAnsi"/>
          </w:rPr>
          <w:t>https://ezequielsingman.files.wordpress.com/2016/03/prc3b3logo-al-libro-macri-lo-hizo-2016-e-r-zaffaroni.pdf</w:t>
        </w:r>
      </w:hyperlink>
      <w:r w:rsidR="00872B3D">
        <w:rPr>
          <w:rFonts w:asciiTheme="majorHAnsi" w:hAnsiTheme="majorHAnsi"/>
        </w:rPr>
        <w:t>), y “Defender la sociedad” (</w:t>
      </w:r>
      <w:hyperlink r:id="rId15" w:history="1">
        <w:r w:rsidR="00872B3D" w:rsidRPr="003C7B13">
          <w:rPr>
            <w:rStyle w:val="Hipervnculo"/>
            <w:rFonts w:asciiTheme="majorHAnsi" w:hAnsiTheme="majorHAnsi"/>
          </w:rPr>
          <w:t>https://ezequielsingman.files.wordpress.com/2015/05/michael-foucault-defender-la-sociedad.pdf</w:t>
        </w:r>
      </w:hyperlink>
      <w:r w:rsidR="00872B3D">
        <w:rPr>
          <w:rFonts w:asciiTheme="majorHAnsi" w:hAnsiTheme="majorHAnsi"/>
        </w:rPr>
        <w:t>)</w:t>
      </w:r>
      <w:r w:rsidR="00154635" w:rsidRPr="00EE019D">
        <w:rPr>
          <w:rFonts w:asciiTheme="majorHAnsi" w:hAnsiTheme="majorHAnsi"/>
        </w:rPr>
        <w:t>,</w:t>
      </w:r>
      <w:r w:rsidR="00872B3D">
        <w:rPr>
          <w:rFonts w:asciiTheme="majorHAnsi" w:hAnsiTheme="majorHAnsi"/>
        </w:rPr>
        <w:t xml:space="preserve"> responda a las siguientes preguntas:</w:t>
      </w:r>
      <w:r w:rsidR="00154635" w:rsidRPr="00EE019D">
        <w:rPr>
          <w:rFonts w:asciiTheme="majorHAnsi" w:hAnsiTheme="majorHAnsi"/>
        </w:rPr>
        <w:t xml:space="preserve"> ¿existe la división de poderes? ¿Existió alguna vez a lo largo de la historia del constitucionalismo? ¿Qué aporta el fallo al respecto</w:t>
      </w:r>
      <w:r w:rsidR="00EE019D">
        <w:rPr>
          <w:rFonts w:asciiTheme="majorHAnsi" w:hAnsiTheme="majorHAnsi"/>
        </w:rPr>
        <w:t xml:space="preserve"> (</w:t>
      </w:r>
      <w:proofErr w:type="spellStart"/>
      <w:r w:rsidR="00EE019D">
        <w:rPr>
          <w:rFonts w:asciiTheme="majorHAnsi" w:hAnsiTheme="majorHAnsi"/>
        </w:rPr>
        <w:t>consd</w:t>
      </w:r>
      <w:proofErr w:type="spellEnd"/>
      <w:r w:rsidR="00EE019D">
        <w:rPr>
          <w:rFonts w:asciiTheme="majorHAnsi" w:hAnsiTheme="majorHAnsi"/>
        </w:rPr>
        <w:t>. 20</w:t>
      </w:r>
      <w:r w:rsidR="00757E9E" w:rsidRPr="00EE019D">
        <w:rPr>
          <w:rFonts w:asciiTheme="majorHAnsi" w:hAnsiTheme="majorHAnsi"/>
        </w:rPr>
        <w:t>)</w:t>
      </w:r>
      <w:r w:rsidR="00154635" w:rsidRPr="00EE019D">
        <w:rPr>
          <w:rFonts w:asciiTheme="majorHAnsi" w:hAnsiTheme="majorHAnsi"/>
        </w:rPr>
        <w:t>? ¿Y la independencia judicial?</w:t>
      </w:r>
    </w:p>
    <w:p w:rsidR="00872B3D" w:rsidRPr="00872B3D" w:rsidRDefault="00872B3D" w:rsidP="00872B3D">
      <w:pPr>
        <w:pStyle w:val="Prrafodelista"/>
        <w:rPr>
          <w:rFonts w:asciiTheme="majorHAnsi" w:hAnsiTheme="majorHAnsi"/>
        </w:rPr>
      </w:pPr>
    </w:p>
    <w:p w:rsidR="00872B3D" w:rsidRPr="00EE019D" w:rsidRDefault="00872B3D" w:rsidP="00872B3D">
      <w:pPr>
        <w:pStyle w:val="Prrafodelista"/>
        <w:jc w:val="both"/>
        <w:rPr>
          <w:rFonts w:asciiTheme="majorHAnsi" w:hAnsiTheme="majorHAnsi"/>
        </w:rPr>
      </w:pPr>
    </w:p>
    <w:p w:rsidR="00023385" w:rsidRPr="000C5938" w:rsidRDefault="00023385" w:rsidP="000C5938">
      <w:pPr>
        <w:ind w:left="360"/>
        <w:rPr>
          <w:rFonts w:asciiTheme="majorHAnsi" w:hAnsiTheme="majorHAnsi"/>
          <w:b/>
        </w:rPr>
      </w:pPr>
      <w:r w:rsidRPr="000C5938">
        <w:rPr>
          <w:rFonts w:asciiTheme="majorHAnsi" w:hAnsiTheme="majorHAnsi"/>
          <w:b/>
        </w:rPr>
        <w:t>Aclaraciones</w:t>
      </w:r>
    </w:p>
    <w:p w:rsidR="00023385" w:rsidRPr="000C5938" w:rsidRDefault="00023385" w:rsidP="000C5938">
      <w:pPr>
        <w:pStyle w:val="Prrafodelista"/>
        <w:numPr>
          <w:ilvl w:val="0"/>
          <w:numId w:val="3"/>
        </w:numPr>
        <w:rPr>
          <w:rFonts w:asciiTheme="majorHAnsi" w:hAnsiTheme="majorHAnsi"/>
        </w:rPr>
      </w:pPr>
      <w:r w:rsidRPr="000C5938">
        <w:rPr>
          <w:rFonts w:asciiTheme="majorHAnsi" w:hAnsiTheme="majorHAnsi"/>
        </w:rPr>
        <w:t>El trabajo deberá demostrar la lectura del material de la cursada por parte del alumno. El mismo deberá ser utilizado y referenciado en la bibliografía.</w:t>
      </w:r>
    </w:p>
    <w:p w:rsidR="00023385" w:rsidRPr="000C5938" w:rsidRDefault="00023385" w:rsidP="000C5938">
      <w:pPr>
        <w:pStyle w:val="Prrafodelista"/>
        <w:numPr>
          <w:ilvl w:val="0"/>
          <w:numId w:val="3"/>
        </w:numPr>
        <w:rPr>
          <w:rFonts w:asciiTheme="majorHAnsi" w:hAnsiTheme="majorHAnsi"/>
        </w:rPr>
      </w:pPr>
      <w:r w:rsidRPr="000C5938">
        <w:rPr>
          <w:rFonts w:asciiTheme="majorHAnsi" w:hAnsiTheme="majorHAnsi"/>
        </w:rPr>
        <w:t>El trabajo debe ser de producción personal. En caso de reforzar el trabajo con una cita, sea directa o indirecta, debe tener su correspondiente fuente debidamente referenciada.</w:t>
      </w:r>
    </w:p>
    <w:p w:rsidR="00023385" w:rsidRPr="000C5938" w:rsidRDefault="00023385" w:rsidP="000C5938">
      <w:pPr>
        <w:pStyle w:val="Prrafodelista"/>
        <w:numPr>
          <w:ilvl w:val="0"/>
          <w:numId w:val="3"/>
        </w:numPr>
        <w:rPr>
          <w:rFonts w:asciiTheme="majorHAnsi" w:hAnsiTheme="majorHAnsi"/>
        </w:rPr>
      </w:pPr>
      <w:r w:rsidRPr="000C5938">
        <w:rPr>
          <w:rFonts w:asciiTheme="majorHAnsi" w:hAnsiTheme="majorHAnsi"/>
        </w:rPr>
        <w:t xml:space="preserve">Para saber cómo citar pueden auxiliarse con </w:t>
      </w:r>
      <w:hyperlink r:id="rId16" w:history="1">
        <w:r w:rsidRPr="000C5938">
          <w:rPr>
            <w:rStyle w:val="Hipervnculo"/>
            <w:rFonts w:asciiTheme="majorHAnsi" w:hAnsiTheme="majorHAnsi"/>
          </w:rPr>
          <w:t>http://normasapa.net/2017-edicion-6/</w:t>
        </w:r>
      </w:hyperlink>
    </w:p>
    <w:p w:rsidR="00023385" w:rsidRPr="000C5938" w:rsidRDefault="00023385" w:rsidP="000C5938">
      <w:pPr>
        <w:pStyle w:val="Prrafodelista"/>
        <w:numPr>
          <w:ilvl w:val="0"/>
          <w:numId w:val="3"/>
        </w:numPr>
        <w:rPr>
          <w:rFonts w:asciiTheme="majorHAnsi" w:hAnsiTheme="majorHAnsi"/>
        </w:rPr>
      </w:pPr>
      <w:r w:rsidRPr="000C5938">
        <w:rPr>
          <w:rFonts w:asciiTheme="majorHAnsi" w:hAnsiTheme="majorHAnsi"/>
        </w:rPr>
        <w:t xml:space="preserve">En caso de hallarse material de fuente sin referenciarse (por ejemplo, </w:t>
      </w:r>
      <w:proofErr w:type="spellStart"/>
      <w:r w:rsidRPr="000C5938">
        <w:rPr>
          <w:rFonts w:asciiTheme="majorHAnsi" w:hAnsiTheme="majorHAnsi"/>
        </w:rPr>
        <w:t>copy</w:t>
      </w:r>
      <w:proofErr w:type="spellEnd"/>
      <w:r w:rsidRPr="000C5938">
        <w:rPr>
          <w:rFonts w:asciiTheme="majorHAnsi" w:hAnsiTheme="majorHAnsi"/>
        </w:rPr>
        <w:t xml:space="preserve">-paste de </w:t>
      </w:r>
      <w:proofErr w:type="spellStart"/>
      <w:r w:rsidRPr="000C5938">
        <w:rPr>
          <w:rFonts w:asciiTheme="majorHAnsi" w:hAnsiTheme="majorHAnsi"/>
        </w:rPr>
        <w:t>Wikipedia</w:t>
      </w:r>
      <w:proofErr w:type="spellEnd"/>
      <w:r w:rsidRPr="000C5938">
        <w:rPr>
          <w:rFonts w:asciiTheme="majorHAnsi" w:hAnsiTheme="majorHAnsi"/>
        </w:rPr>
        <w:t xml:space="preserve"> y otras páginas web), será considerado plagio, y será automáticamente desaprobado el curso.</w:t>
      </w:r>
    </w:p>
    <w:p w:rsidR="00023385" w:rsidRPr="000C5938" w:rsidRDefault="00023385" w:rsidP="000C5938">
      <w:pPr>
        <w:pStyle w:val="Prrafodelista"/>
        <w:numPr>
          <w:ilvl w:val="0"/>
          <w:numId w:val="3"/>
        </w:numPr>
        <w:rPr>
          <w:rFonts w:asciiTheme="majorHAnsi" w:hAnsiTheme="majorHAnsi"/>
        </w:rPr>
      </w:pPr>
      <w:r w:rsidRPr="000C5938">
        <w:rPr>
          <w:rFonts w:asciiTheme="majorHAnsi" w:hAnsiTheme="majorHAnsi"/>
        </w:rPr>
        <w:t xml:space="preserve">Para el envío del trabajo por mail, deberá consignarse el apellido y nombre en el trabajo, y colocarse como nombre del archivo </w:t>
      </w:r>
      <w:proofErr w:type="spellStart"/>
      <w:r w:rsidRPr="000C5938">
        <w:rPr>
          <w:rFonts w:asciiTheme="majorHAnsi" w:hAnsiTheme="majorHAnsi"/>
        </w:rPr>
        <w:t>word</w:t>
      </w:r>
      <w:proofErr w:type="spellEnd"/>
      <w:r w:rsidRPr="000C5938">
        <w:rPr>
          <w:rFonts w:asciiTheme="majorHAnsi" w:hAnsiTheme="majorHAnsi"/>
        </w:rPr>
        <w:t xml:space="preserve"> o </w:t>
      </w:r>
      <w:proofErr w:type="spellStart"/>
      <w:r w:rsidRPr="000C5938">
        <w:rPr>
          <w:rFonts w:asciiTheme="majorHAnsi" w:hAnsiTheme="majorHAnsi"/>
        </w:rPr>
        <w:t>pdf</w:t>
      </w:r>
      <w:proofErr w:type="spellEnd"/>
      <w:r w:rsidRPr="000C5938">
        <w:rPr>
          <w:rFonts w:asciiTheme="majorHAnsi" w:hAnsiTheme="majorHAnsi"/>
        </w:rPr>
        <w:t>.</w:t>
      </w:r>
    </w:p>
    <w:p w:rsidR="000C5938" w:rsidRDefault="000C5938" w:rsidP="000C5938">
      <w:pPr>
        <w:pStyle w:val="Prrafodelista"/>
        <w:numPr>
          <w:ilvl w:val="0"/>
          <w:numId w:val="3"/>
        </w:numPr>
        <w:rPr>
          <w:rFonts w:asciiTheme="majorHAnsi" w:hAnsiTheme="majorHAnsi"/>
        </w:rPr>
      </w:pPr>
      <w:r w:rsidRPr="000C5938">
        <w:rPr>
          <w:rFonts w:asciiTheme="majorHAnsi" w:hAnsiTheme="majorHAnsi"/>
        </w:rPr>
        <w:t>Antes de cada respuesta, transcriba la pregunta.</w:t>
      </w:r>
    </w:p>
    <w:p w:rsidR="0032244E" w:rsidRPr="0032244E" w:rsidRDefault="0032244E" w:rsidP="0032244E">
      <w:pPr>
        <w:ind w:left="720"/>
        <w:rPr>
          <w:rFonts w:asciiTheme="majorHAnsi" w:hAnsiTheme="majorHAnsi"/>
        </w:rPr>
      </w:pPr>
    </w:p>
    <w:p w:rsidR="000C5938" w:rsidRPr="000C5938" w:rsidRDefault="000C5938">
      <w:pPr>
        <w:rPr>
          <w:rFonts w:asciiTheme="majorHAnsi" w:hAnsiTheme="majorHAnsi"/>
        </w:rPr>
      </w:pPr>
    </w:p>
    <w:sectPr w:rsidR="000C5938" w:rsidRPr="000C5938" w:rsidSect="000C5938">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4E6A" w:rsidRDefault="007F4E6A" w:rsidP="007F4E6A">
      <w:pPr>
        <w:spacing w:after="0" w:line="240" w:lineRule="auto"/>
      </w:pPr>
      <w:r>
        <w:separator/>
      </w:r>
    </w:p>
  </w:endnote>
  <w:endnote w:type="continuationSeparator" w:id="1">
    <w:p w:rsidR="007F4E6A" w:rsidRDefault="007F4E6A" w:rsidP="007F4E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4E6A" w:rsidRDefault="007F4E6A" w:rsidP="007F4E6A">
      <w:pPr>
        <w:spacing w:after="0" w:line="240" w:lineRule="auto"/>
      </w:pPr>
      <w:r>
        <w:separator/>
      </w:r>
    </w:p>
  </w:footnote>
  <w:footnote w:type="continuationSeparator" w:id="1">
    <w:p w:rsidR="007F4E6A" w:rsidRDefault="007F4E6A" w:rsidP="007F4E6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6240DC"/>
    <w:multiLevelType w:val="hybridMultilevel"/>
    <w:tmpl w:val="C3EA8A5C"/>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658D0C9F"/>
    <w:multiLevelType w:val="hybridMultilevel"/>
    <w:tmpl w:val="51A6CDBE"/>
    <w:lvl w:ilvl="0" w:tplc="CE7AAF66">
      <w:numFmt w:val="bullet"/>
      <w:lvlText w:val="-"/>
      <w:lvlJc w:val="left"/>
      <w:pPr>
        <w:ind w:left="720" w:hanging="360"/>
      </w:pPr>
      <w:rPr>
        <w:rFonts w:ascii="Cambria" w:eastAsiaTheme="minorHAnsi" w:hAnsi="Cambria" w:cstheme="minorBid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72EC0A00"/>
    <w:multiLevelType w:val="hybridMultilevel"/>
    <w:tmpl w:val="BE007AE8"/>
    <w:lvl w:ilvl="0" w:tplc="D29C299E">
      <w:start w:val="1"/>
      <w:numFmt w:val="bullet"/>
      <w:lvlText w:val=""/>
      <w:lvlJc w:val="left"/>
      <w:pPr>
        <w:ind w:left="108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7A544E89"/>
    <w:multiLevelType w:val="hybridMultilevel"/>
    <w:tmpl w:val="6C8E26AC"/>
    <w:lvl w:ilvl="0" w:tplc="38A818AC">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6145"/>
  </w:hdrShapeDefaults>
  <w:footnotePr>
    <w:footnote w:id="0"/>
    <w:footnote w:id="1"/>
  </w:footnotePr>
  <w:endnotePr>
    <w:endnote w:id="0"/>
    <w:endnote w:id="1"/>
  </w:endnotePr>
  <w:compat/>
  <w:rsids>
    <w:rsidRoot w:val="00023385"/>
    <w:rsid w:val="00023385"/>
    <w:rsid w:val="00093B93"/>
    <w:rsid w:val="000C5938"/>
    <w:rsid w:val="001177A7"/>
    <w:rsid w:val="00154635"/>
    <w:rsid w:val="001B1016"/>
    <w:rsid w:val="0032244E"/>
    <w:rsid w:val="003E4945"/>
    <w:rsid w:val="00415675"/>
    <w:rsid w:val="005562AD"/>
    <w:rsid w:val="00580EB8"/>
    <w:rsid w:val="0065366F"/>
    <w:rsid w:val="007067EF"/>
    <w:rsid w:val="00757E9E"/>
    <w:rsid w:val="007F4E6A"/>
    <w:rsid w:val="00813C9E"/>
    <w:rsid w:val="008450AF"/>
    <w:rsid w:val="00872B3D"/>
    <w:rsid w:val="00895106"/>
    <w:rsid w:val="008A6139"/>
    <w:rsid w:val="008E62B6"/>
    <w:rsid w:val="00A1481A"/>
    <w:rsid w:val="00A5537B"/>
    <w:rsid w:val="00AC4017"/>
    <w:rsid w:val="00AE65ED"/>
    <w:rsid w:val="00B554BF"/>
    <w:rsid w:val="00D6235C"/>
    <w:rsid w:val="00D65FD2"/>
    <w:rsid w:val="00D870AE"/>
    <w:rsid w:val="00E50C09"/>
    <w:rsid w:val="00EE019D"/>
    <w:rsid w:val="00FF4616"/>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401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23385"/>
    <w:rPr>
      <w:color w:val="0000FF" w:themeColor="hyperlink"/>
      <w:u w:val="single"/>
    </w:rPr>
  </w:style>
  <w:style w:type="paragraph" w:styleId="Prrafodelista">
    <w:name w:val="List Paragraph"/>
    <w:basedOn w:val="Normal"/>
    <w:uiPriority w:val="34"/>
    <w:qFormat/>
    <w:rsid w:val="00023385"/>
    <w:pPr>
      <w:ind w:left="720"/>
      <w:contextualSpacing/>
    </w:pPr>
  </w:style>
  <w:style w:type="paragraph" w:styleId="Textodeglobo">
    <w:name w:val="Balloon Text"/>
    <w:basedOn w:val="Normal"/>
    <w:link w:val="TextodegloboCar"/>
    <w:uiPriority w:val="99"/>
    <w:semiHidden/>
    <w:unhideWhenUsed/>
    <w:rsid w:val="00580EB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0EB8"/>
    <w:rPr>
      <w:rFonts w:ascii="Segoe UI" w:hAnsi="Segoe UI" w:cs="Segoe UI"/>
      <w:sz w:val="18"/>
      <w:szCs w:val="18"/>
    </w:rPr>
  </w:style>
  <w:style w:type="paragraph" w:styleId="Encabezado">
    <w:name w:val="header"/>
    <w:basedOn w:val="Normal"/>
    <w:link w:val="EncabezadoCar"/>
    <w:uiPriority w:val="99"/>
    <w:unhideWhenUsed/>
    <w:rsid w:val="007F4E6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F4E6A"/>
  </w:style>
  <w:style w:type="paragraph" w:styleId="Piedepgina">
    <w:name w:val="footer"/>
    <w:basedOn w:val="Normal"/>
    <w:link w:val="PiedepginaCar"/>
    <w:uiPriority w:val="99"/>
    <w:unhideWhenUsed/>
    <w:rsid w:val="007F4E6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F4E6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adiocut.fm/audiocut/entrevista-a-miguel-fernandez-pastor-especialista-en-temas-previsionales/" TargetMode="External"/><Relationship Id="rId13" Type="http://schemas.openxmlformats.org/officeDocument/2006/relationships/hyperlink" Target="https://www.lanacion.com.ar/2141194-declaran-inconstitucional-que-se-haya-aplicado-en-marzo-la-nueva-formula-de-movilidad-jubilatori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larin.com/economia/economia/jubilados-todavia-300-000-juicios-sentencia-favorable-anses-debe-pagar_0_HJLCeYHM7.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normasapa.net/2017-edicion-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mbito.com/gobierno-teme-fallo-adverso-100000-m-caso-badaro-2-n4037951" TargetMode="External"/><Relationship Id="rId5" Type="http://schemas.openxmlformats.org/officeDocument/2006/relationships/webSettings" Target="webSettings.xml"/><Relationship Id="rId15" Type="http://schemas.openxmlformats.org/officeDocument/2006/relationships/hyperlink" Target="https://ezequielsingman.files.wordpress.com/2015/05/michael-foucault-defender-la-sociedad.pdf" TargetMode="External"/><Relationship Id="rId10" Type="http://schemas.openxmlformats.org/officeDocument/2006/relationships/hyperlink" Target="https://www.pagina12.com.ar/150222-la-corte-ya-tiene-su-nuevo-caso-badaro" TargetMode="External"/><Relationship Id="rId4" Type="http://schemas.openxmlformats.org/officeDocument/2006/relationships/settings" Target="settings.xml"/><Relationship Id="rId9" Type="http://schemas.openxmlformats.org/officeDocument/2006/relationships/hyperlink" Target="https://www.cij.gov.ar/nota-32887-PREVISIONAL---La-Corte-Suprema-falla-a-favor-de-los-jubilados.html" TargetMode="External"/><Relationship Id="rId14" Type="http://schemas.openxmlformats.org/officeDocument/2006/relationships/hyperlink" Target="https://ezequielsingman.files.wordpress.com/2016/03/prc3b3logo-al-libro-macri-lo-hizo-2016-e-r-zaffaroni.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0C32B-4ECA-4FA8-9D2C-B7AD9B2A4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1097</Words>
  <Characters>6037</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Belén Natiello</dc:creator>
  <cp:lastModifiedBy>ezeprin</cp:lastModifiedBy>
  <cp:revision>3</cp:revision>
  <cp:lastPrinted>2019-01-07T11:09:00Z</cp:lastPrinted>
  <dcterms:created xsi:type="dcterms:W3CDTF">2019-02-01T16:51:00Z</dcterms:created>
  <dcterms:modified xsi:type="dcterms:W3CDTF">2019-02-01T16:54:00Z</dcterms:modified>
</cp:coreProperties>
</file>