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7B5A38">
      <w:pPr>
        <w:jc w:val="center"/>
        <w:rPr>
          <w:rFonts w:ascii="Times New Roman" w:hAnsi="Times New Roman"/>
          <w:sz w:val="24"/>
          <w:szCs w:val="24"/>
          <w:u w:val="single"/>
          <w:lang w:val="es-ES_tradnl"/>
        </w:rPr>
      </w:pPr>
      <w:bookmarkStart w:id="0" w:name="_GoBack"/>
      <w:bookmarkEnd w:id="0"/>
      <w:r>
        <w:rPr>
          <w:rFonts w:ascii="Times New Roman" w:hAnsi="Times New Roman"/>
          <w:sz w:val="24"/>
          <w:szCs w:val="24"/>
          <w:u w:val="single"/>
          <w:lang w:val="es-ES_tradnl"/>
        </w:rPr>
        <w:t xml:space="preserve">Contribución a </w:t>
      </w:r>
      <w:r>
        <w:rPr>
          <w:rFonts w:ascii="Times New Roman" w:hAnsi="Times New Roman"/>
          <w:i/>
          <w:sz w:val="24"/>
          <w:szCs w:val="24"/>
          <w:u w:val="single"/>
          <w:lang w:val="es-ES_tradnl"/>
        </w:rPr>
        <w:t>Historia de los Derechos Fundamentales</w:t>
      </w:r>
    </w:p>
    <w:p w:rsidR="00000000" w:rsidRDefault="007B5A38">
      <w:pPr>
        <w:jc w:val="center"/>
        <w:rPr>
          <w:rFonts w:ascii="Times New Roman" w:hAnsi="Times New Roman"/>
          <w:b/>
          <w:sz w:val="28"/>
          <w:szCs w:val="28"/>
          <w:u w:val="single"/>
          <w:lang w:val="es-ES_tradnl"/>
        </w:rPr>
      </w:pPr>
      <w:r>
        <w:rPr>
          <w:rFonts w:ascii="Times New Roman" w:hAnsi="Times New Roman"/>
          <w:b/>
          <w:sz w:val="28"/>
          <w:szCs w:val="28"/>
          <w:u w:val="single"/>
          <w:lang w:val="es-ES_tradnl"/>
        </w:rPr>
        <w:t>Los derechos económicos, sociales y culturales</w:t>
      </w:r>
    </w:p>
    <w:p w:rsidR="00000000" w:rsidRDefault="007B5A38">
      <w:pPr>
        <w:jc w:val="both"/>
        <w:rPr>
          <w:rFonts w:ascii="Times New Roman" w:hAnsi="Times New Roman"/>
          <w:sz w:val="24"/>
          <w:szCs w:val="24"/>
          <w:lang w:val="es-ES_tradnl"/>
        </w:rPr>
      </w:pPr>
    </w:p>
    <w:p w:rsidR="00000000" w:rsidRDefault="007B5A38">
      <w:pPr>
        <w:jc w:val="right"/>
        <w:rPr>
          <w:rFonts w:ascii="Times New Roman" w:hAnsi="Times New Roman"/>
          <w:sz w:val="24"/>
          <w:szCs w:val="24"/>
          <w:lang w:val="es-ES_tradnl"/>
        </w:rPr>
      </w:pPr>
      <w:r>
        <w:rPr>
          <w:rFonts w:ascii="Times New Roman" w:hAnsi="Times New Roman"/>
          <w:sz w:val="24"/>
          <w:szCs w:val="24"/>
          <w:lang w:val="es-ES_tradnl"/>
        </w:rPr>
        <w:t>Christian Courtis</w:t>
      </w:r>
    </w:p>
    <w:p w:rsidR="00000000" w:rsidRDefault="007B5A38">
      <w:pPr>
        <w:jc w:val="right"/>
        <w:rPr>
          <w:rFonts w:ascii="Times New Roman" w:hAnsi="Times New Roman"/>
          <w:sz w:val="24"/>
          <w:szCs w:val="24"/>
          <w:lang w:val="es-ES_tradnl"/>
        </w:rPr>
      </w:pPr>
      <w:r>
        <w:rPr>
          <w:rFonts w:ascii="Times New Roman" w:hAnsi="Times New Roman"/>
          <w:sz w:val="24"/>
          <w:szCs w:val="24"/>
          <w:lang w:val="es-ES_tradnl"/>
        </w:rPr>
        <w:t>Universidad de Buenos Aires/</w:t>
      </w:r>
    </w:p>
    <w:p w:rsidR="00000000" w:rsidRDefault="007B5A38">
      <w:pPr>
        <w:jc w:val="right"/>
        <w:rPr>
          <w:rFonts w:ascii="Times New Roman" w:hAnsi="Times New Roman"/>
          <w:sz w:val="24"/>
          <w:szCs w:val="24"/>
          <w:lang w:val="es-ES_tradnl"/>
        </w:rPr>
      </w:pPr>
      <w:r>
        <w:rPr>
          <w:rFonts w:ascii="Times New Roman" w:hAnsi="Times New Roman"/>
          <w:sz w:val="24"/>
          <w:szCs w:val="24"/>
          <w:lang w:val="es-ES_tradnl"/>
        </w:rPr>
        <w:t>Oficina del Alto Comisionado de Naciones Unidas para los Derechos Humanos</w:t>
      </w:r>
    </w:p>
    <w:p w:rsidR="00000000" w:rsidRDefault="007B5A38">
      <w:pPr>
        <w:jc w:val="both"/>
        <w:rPr>
          <w:rFonts w:ascii="Times New Roman" w:hAnsi="Times New Roman"/>
          <w:sz w:val="24"/>
          <w:szCs w:val="24"/>
          <w:lang w:val="es-ES_tradnl"/>
        </w:rPr>
      </w:pPr>
    </w:p>
    <w:p w:rsidR="00000000" w:rsidRDefault="007B5A38">
      <w:pPr>
        <w:jc w:val="both"/>
        <w:rPr>
          <w:rFonts w:ascii="Times New Roman" w:hAnsi="Times New Roman"/>
          <w:sz w:val="24"/>
          <w:szCs w:val="24"/>
          <w:lang w:val="es-ES_tradnl"/>
        </w:rPr>
      </w:pPr>
    </w:p>
    <w:p w:rsidR="00000000" w:rsidRDefault="007B5A38">
      <w:pPr>
        <w:numPr>
          <w:ilvl w:val="0"/>
          <w:numId w:val="4"/>
        </w:numPr>
        <w:jc w:val="both"/>
        <w:rPr>
          <w:rFonts w:ascii="Times New Roman" w:hAnsi="Times New Roman"/>
          <w:sz w:val="24"/>
          <w:szCs w:val="24"/>
          <w:lang w:val="es-ES_tradnl"/>
        </w:rPr>
      </w:pPr>
      <w:r>
        <w:rPr>
          <w:rFonts w:ascii="Times New Roman" w:hAnsi="Times New Roman"/>
          <w:sz w:val="24"/>
          <w:szCs w:val="24"/>
          <w:lang w:val="es-ES_tradnl"/>
        </w:rPr>
        <w:t>Introducción</w:t>
      </w:r>
    </w:p>
    <w:p w:rsidR="00000000" w:rsidRDefault="007B5A38">
      <w:pPr>
        <w:numPr>
          <w:ilvl w:val="0"/>
          <w:numId w:val="4"/>
        </w:numPr>
        <w:jc w:val="both"/>
        <w:rPr>
          <w:rFonts w:ascii="Times New Roman" w:hAnsi="Times New Roman"/>
          <w:sz w:val="24"/>
          <w:szCs w:val="24"/>
          <w:lang w:val="es-ES_tradnl"/>
        </w:rPr>
      </w:pPr>
      <w:r>
        <w:rPr>
          <w:rFonts w:ascii="Times New Roman" w:hAnsi="Times New Roman"/>
          <w:sz w:val="24"/>
          <w:szCs w:val="24"/>
          <w:lang w:val="es-ES_tradnl"/>
        </w:rPr>
        <w:t>Los derechos socia</w:t>
      </w:r>
      <w:r>
        <w:rPr>
          <w:rFonts w:ascii="Times New Roman" w:hAnsi="Times New Roman"/>
          <w:sz w:val="24"/>
          <w:szCs w:val="24"/>
          <w:lang w:val="es-ES_tradnl"/>
        </w:rPr>
        <w:t>les como derechos constitucionales</w:t>
      </w:r>
    </w:p>
    <w:p w:rsidR="00000000" w:rsidRDefault="007B5A38">
      <w:pPr>
        <w:ind w:left="1440"/>
        <w:jc w:val="both"/>
        <w:rPr>
          <w:rFonts w:ascii="Times New Roman" w:hAnsi="Times New Roman"/>
          <w:sz w:val="24"/>
          <w:szCs w:val="24"/>
          <w:lang w:val="es-ES_tradnl"/>
        </w:rPr>
      </w:pPr>
      <w:r>
        <w:rPr>
          <w:rFonts w:ascii="Times New Roman" w:hAnsi="Times New Roman"/>
          <w:sz w:val="24"/>
          <w:szCs w:val="24"/>
          <w:lang w:val="es-ES_tradnl"/>
        </w:rPr>
        <w:t>2.1) Antecedentes: siglos XVIII y XIX</w:t>
      </w:r>
    </w:p>
    <w:p w:rsidR="00000000" w:rsidRDefault="007B5A38">
      <w:pPr>
        <w:ind w:left="1440"/>
        <w:jc w:val="both"/>
        <w:rPr>
          <w:rFonts w:ascii="Times New Roman" w:hAnsi="Times New Roman"/>
          <w:sz w:val="24"/>
          <w:szCs w:val="24"/>
          <w:lang w:val="es-ES_tradnl"/>
        </w:rPr>
      </w:pPr>
      <w:r>
        <w:rPr>
          <w:rFonts w:ascii="Times New Roman" w:hAnsi="Times New Roman"/>
          <w:sz w:val="24"/>
          <w:szCs w:val="24"/>
          <w:lang w:val="es-ES_tradnl"/>
        </w:rPr>
        <w:t>2.2) Constituciones de entreguerras (1917-1940)</w:t>
      </w:r>
    </w:p>
    <w:p w:rsidR="00000000" w:rsidRDefault="007B5A38">
      <w:pPr>
        <w:ind w:left="1440"/>
        <w:jc w:val="both"/>
        <w:rPr>
          <w:rFonts w:ascii="Times New Roman" w:hAnsi="Times New Roman"/>
          <w:sz w:val="24"/>
          <w:szCs w:val="24"/>
          <w:lang w:val="es-ES_tradnl"/>
        </w:rPr>
      </w:pPr>
      <w:r>
        <w:rPr>
          <w:rFonts w:ascii="Times New Roman" w:hAnsi="Times New Roman"/>
          <w:sz w:val="24"/>
          <w:szCs w:val="24"/>
          <w:lang w:val="es-ES_tradnl"/>
        </w:rPr>
        <w:t>2.3) El constitucionalismo social latinoamericano (1937-1960)</w:t>
      </w:r>
    </w:p>
    <w:p w:rsidR="00000000" w:rsidRDefault="007B5A38">
      <w:pPr>
        <w:ind w:left="1440"/>
        <w:jc w:val="both"/>
        <w:rPr>
          <w:rFonts w:ascii="Times New Roman" w:hAnsi="Times New Roman"/>
          <w:sz w:val="24"/>
          <w:szCs w:val="24"/>
          <w:lang w:val="es-ES_tradnl"/>
        </w:rPr>
      </w:pPr>
      <w:r>
        <w:rPr>
          <w:rFonts w:ascii="Times New Roman" w:hAnsi="Times New Roman"/>
          <w:sz w:val="24"/>
          <w:szCs w:val="24"/>
          <w:lang w:val="es-ES_tradnl"/>
        </w:rPr>
        <w:t>2.4) Constituciones de Europa occidental: la posguerra (1946-1948) e inst</w:t>
      </w:r>
      <w:r>
        <w:rPr>
          <w:rFonts w:ascii="Times New Roman" w:hAnsi="Times New Roman"/>
          <w:sz w:val="24"/>
          <w:szCs w:val="24"/>
          <w:lang w:val="es-ES_tradnl"/>
        </w:rPr>
        <w:t>auración democrática en el sur de Europa (1975-1978)</w:t>
      </w:r>
    </w:p>
    <w:p w:rsidR="00000000" w:rsidRDefault="007B5A38">
      <w:pPr>
        <w:ind w:left="1440"/>
        <w:jc w:val="both"/>
        <w:rPr>
          <w:rFonts w:ascii="Times New Roman" w:hAnsi="Times New Roman"/>
          <w:sz w:val="24"/>
          <w:szCs w:val="24"/>
          <w:lang w:val="es-ES_tradnl"/>
        </w:rPr>
      </w:pPr>
      <w:r>
        <w:rPr>
          <w:rFonts w:ascii="Times New Roman" w:hAnsi="Times New Roman"/>
          <w:sz w:val="24"/>
          <w:szCs w:val="24"/>
          <w:lang w:val="es-ES_tradnl"/>
        </w:rPr>
        <w:t>2.5) La consolidación del constitucionalismo social: América latina, Europa del Este, África</w:t>
      </w:r>
    </w:p>
    <w:p w:rsidR="00000000" w:rsidRDefault="007B5A38">
      <w:pPr>
        <w:numPr>
          <w:ilvl w:val="0"/>
          <w:numId w:val="4"/>
        </w:numPr>
        <w:jc w:val="both"/>
        <w:rPr>
          <w:rFonts w:ascii="Times New Roman" w:hAnsi="Times New Roman"/>
          <w:sz w:val="24"/>
          <w:szCs w:val="24"/>
          <w:lang w:val="es-ES_tradnl"/>
        </w:rPr>
      </w:pPr>
      <w:r>
        <w:rPr>
          <w:rFonts w:ascii="Times New Roman" w:hAnsi="Times New Roman"/>
          <w:sz w:val="24"/>
          <w:szCs w:val="24"/>
          <w:lang w:val="es-ES_tradnl"/>
        </w:rPr>
        <w:t>Los derechos sociales como derechos humanos</w:t>
      </w:r>
    </w:p>
    <w:p w:rsidR="00000000" w:rsidRDefault="007B5A38">
      <w:pPr>
        <w:ind w:left="1440"/>
        <w:jc w:val="both"/>
        <w:rPr>
          <w:rFonts w:ascii="Times New Roman" w:hAnsi="Times New Roman"/>
          <w:sz w:val="24"/>
          <w:szCs w:val="24"/>
          <w:lang w:val="es-ES_tradnl"/>
        </w:rPr>
      </w:pPr>
      <w:r>
        <w:rPr>
          <w:rFonts w:ascii="Times New Roman" w:hAnsi="Times New Roman"/>
          <w:sz w:val="24"/>
          <w:szCs w:val="24"/>
          <w:lang w:val="es-ES_tradnl"/>
        </w:rPr>
        <w:t>3.1) Antecedentes: Constitución de la OIT, Pacto de la Sociedad de</w:t>
      </w:r>
      <w:r>
        <w:rPr>
          <w:rFonts w:ascii="Times New Roman" w:hAnsi="Times New Roman"/>
          <w:sz w:val="24"/>
          <w:szCs w:val="24"/>
          <w:lang w:val="es-ES_tradnl"/>
        </w:rPr>
        <w:t xml:space="preserve"> las Naciones</w:t>
      </w:r>
    </w:p>
    <w:p w:rsidR="00000000" w:rsidRDefault="007B5A38">
      <w:pPr>
        <w:ind w:left="1440"/>
        <w:jc w:val="both"/>
        <w:rPr>
          <w:rFonts w:ascii="Times New Roman" w:hAnsi="Times New Roman"/>
          <w:sz w:val="24"/>
          <w:szCs w:val="24"/>
          <w:lang w:val="es-ES_tradnl"/>
        </w:rPr>
      </w:pPr>
      <w:r>
        <w:rPr>
          <w:rFonts w:ascii="Times New Roman" w:hAnsi="Times New Roman"/>
          <w:sz w:val="24"/>
          <w:szCs w:val="24"/>
          <w:lang w:val="es-ES_tradnl"/>
        </w:rPr>
        <w:t>3.2) Los derechos sociales en la Declaración Universal de Derechos Humanos</w:t>
      </w:r>
    </w:p>
    <w:p w:rsidR="00000000" w:rsidRDefault="007B5A38">
      <w:pPr>
        <w:ind w:left="1440"/>
        <w:jc w:val="both"/>
        <w:rPr>
          <w:rFonts w:ascii="Times New Roman" w:hAnsi="Times New Roman"/>
          <w:sz w:val="24"/>
          <w:szCs w:val="24"/>
          <w:lang w:val="es-ES_tradnl"/>
        </w:rPr>
      </w:pPr>
      <w:r>
        <w:rPr>
          <w:rFonts w:ascii="Times New Roman" w:hAnsi="Times New Roman"/>
          <w:sz w:val="24"/>
          <w:szCs w:val="24"/>
          <w:lang w:val="es-ES_tradnl"/>
        </w:rPr>
        <w:t xml:space="preserve">3.3) </w:t>
      </w:r>
      <w:r>
        <w:rPr>
          <w:rFonts w:ascii="Times New Roman" w:hAnsi="Times New Roman"/>
          <w:sz w:val="24"/>
          <w:szCs w:val="24"/>
          <w:lang w:val="es-AR"/>
        </w:rPr>
        <w:t xml:space="preserve">La codificación del contenido de la Declaración Universal: los pactos de 1966 (PIDESC y PIDCP) y el posterior desarrollo de instrumentos del sistema universal de </w:t>
      </w:r>
      <w:r>
        <w:rPr>
          <w:rFonts w:ascii="Times New Roman" w:hAnsi="Times New Roman"/>
          <w:sz w:val="24"/>
          <w:szCs w:val="24"/>
          <w:lang w:val="es-AR"/>
        </w:rPr>
        <w:t>derechos humanos</w:t>
      </w:r>
    </w:p>
    <w:p w:rsidR="00000000" w:rsidRDefault="007B5A38">
      <w:pPr>
        <w:ind w:left="1440"/>
        <w:jc w:val="both"/>
        <w:rPr>
          <w:rFonts w:ascii="Times New Roman" w:hAnsi="Times New Roman"/>
          <w:sz w:val="24"/>
          <w:szCs w:val="24"/>
          <w:lang w:val="es-ES_tradnl"/>
        </w:rPr>
      </w:pPr>
      <w:r>
        <w:rPr>
          <w:rFonts w:ascii="Times New Roman" w:hAnsi="Times New Roman"/>
          <w:sz w:val="24"/>
          <w:szCs w:val="24"/>
          <w:lang w:val="es-ES_tradnl"/>
        </w:rPr>
        <w:t>3.4) Los derechos sociales en instrumentos regionales de derechos humanos: África, América, Europa</w:t>
      </w:r>
    </w:p>
    <w:p w:rsidR="00000000" w:rsidRDefault="007B5A38">
      <w:pPr>
        <w:numPr>
          <w:ilvl w:val="0"/>
          <w:numId w:val="4"/>
        </w:numPr>
        <w:jc w:val="both"/>
        <w:rPr>
          <w:rFonts w:ascii="Times New Roman" w:hAnsi="Times New Roman"/>
          <w:sz w:val="24"/>
          <w:szCs w:val="24"/>
          <w:lang w:val="es-ES_tradnl"/>
        </w:rPr>
      </w:pPr>
      <w:r>
        <w:rPr>
          <w:rFonts w:ascii="Times New Roman" w:hAnsi="Times New Roman"/>
          <w:sz w:val="24"/>
          <w:szCs w:val="24"/>
          <w:lang w:val="es-ES_tradnl"/>
        </w:rPr>
        <w:t>Bibliografía</w:t>
      </w:r>
    </w:p>
    <w:p w:rsidR="00000000" w:rsidRDefault="007B5A38">
      <w:pPr>
        <w:jc w:val="both"/>
        <w:rPr>
          <w:rFonts w:ascii="Times New Roman" w:hAnsi="Times New Roman"/>
          <w:sz w:val="24"/>
          <w:szCs w:val="24"/>
          <w:lang w:val="es-ES_tradnl"/>
        </w:rPr>
      </w:pPr>
    </w:p>
    <w:p w:rsidR="00000000" w:rsidRDefault="007B5A38">
      <w:pPr>
        <w:jc w:val="both"/>
        <w:rPr>
          <w:rFonts w:ascii="Times New Roman" w:hAnsi="Times New Roman"/>
          <w:sz w:val="24"/>
          <w:szCs w:val="24"/>
          <w:lang w:val="es-ES_tradnl"/>
        </w:rPr>
      </w:pP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1)</w:t>
      </w:r>
      <w:r>
        <w:rPr>
          <w:rFonts w:ascii="Times New Roman" w:hAnsi="Times New Roman"/>
          <w:sz w:val="24"/>
          <w:szCs w:val="24"/>
          <w:lang w:val="es-ES_tradnl"/>
        </w:rPr>
        <w:tab/>
      </w:r>
      <w:r>
        <w:rPr>
          <w:rFonts w:ascii="Times New Roman" w:hAnsi="Times New Roman"/>
          <w:b/>
          <w:sz w:val="24"/>
          <w:szCs w:val="24"/>
          <w:lang w:val="es-ES_tradnl"/>
        </w:rPr>
        <w:t>INTRODUCCIÓN</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lastRenderedPageBreak/>
        <w:t xml:space="preserve">Este trabajo propone un recorrido cronológico de la normativización de derechos sociales en constituciones y </w:t>
      </w:r>
      <w:r>
        <w:rPr>
          <w:rFonts w:ascii="Times New Roman" w:hAnsi="Times New Roman"/>
          <w:sz w:val="24"/>
          <w:szCs w:val="24"/>
          <w:lang w:val="es-ES_tradnl"/>
        </w:rPr>
        <w:t xml:space="preserve">en instrumentos internacionales de derechos humanos. </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El intento supone algunos riesgos – en especial, la selectividad y potencial arbitrariedad del recorte de material normativo elegido para delinear la historia constitucional de los derechos sociales. He</w:t>
      </w:r>
      <w:r>
        <w:rPr>
          <w:rFonts w:ascii="Times New Roman" w:hAnsi="Times New Roman"/>
          <w:sz w:val="24"/>
          <w:szCs w:val="24"/>
          <w:lang w:val="es-ES_tradnl"/>
        </w:rPr>
        <w:t xml:space="preserve"> privilegiado en este empeño la experiencia de los países de Iberoamérica, junto con otras fuentes que han sido particularmente relevantes para la región y para el mundo entero, tratando de sugerir influencias y líneas de evolución. El enfoque predominante</w:t>
      </w:r>
      <w:r>
        <w:rPr>
          <w:rFonts w:ascii="Times New Roman" w:hAnsi="Times New Roman"/>
          <w:sz w:val="24"/>
          <w:szCs w:val="24"/>
          <w:lang w:val="es-ES_tradnl"/>
        </w:rPr>
        <w:t xml:space="preserve"> es el de historia normativa, con algunos apuntes sobre el contexto político de adopción.</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El recorrido permite además acercarse a los principales temas de discusión en materia de derechos sociales, aunque el objetivo principal del trabajo no es el de repro</w:t>
      </w:r>
      <w:r>
        <w:rPr>
          <w:rFonts w:ascii="Times New Roman" w:hAnsi="Times New Roman"/>
          <w:sz w:val="24"/>
          <w:szCs w:val="24"/>
          <w:lang w:val="es-ES_tradnl"/>
        </w:rPr>
        <w:t>ducir el debate teórico alrededor de esos derechos, sino más bien presentar las líneas de fuerza de la constitucionalización – y de la inclusión en instrumentos internacionales – de estos derechos, en particular sobre dos cuestiones: los temas que han mere</w:t>
      </w:r>
      <w:r>
        <w:rPr>
          <w:rFonts w:ascii="Times New Roman" w:hAnsi="Times New Roman"/>
          <w:sz w:val="24"/>
          <w:szCs w:val="24"/>
          <w:lang w:val="es-ES_tradnl"/>
        </w:rPr>
        <w:t>cido atención constitucional, y la forma de su constitucionalización.</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Sobre la primera cuestión – qué temas han merecido atención constitucional –, el ejercicio implica una definición tentativa de qué debe entenderse por derechos sociales – o derechos econ</w:t>
      </w:r>
      <w:r>
        <w:rPr>
          <w:rFonts w:ascii="Times New Roman" w:hAnsi="Times New Roman"/>
          <w:sz w:val="24"/>
          <w:szCs w:val="24"/>
          <w:lang w:val="es-ES_tradnl"/>
        </w:rPr>
        <w:t>ómicos, sociales y culturales, de acuerdo a la terminología de los instrumentos internacionales de derechos humanos. En muchos casos la tarea queda facilitada porque los mismos instrumentos normativos – constituciones o tratados de derechos humanos – clasi</w:t>
      </w:r>
      <w:r>
        <w:rPr>
          <w:rFonts w:ascii="Times New Roman" w:hAnsi="Times New Roman"/>
          <w:sz w:val="24"/>
          <w:szCs w:val="24"/>
          <w:lang w:val="es-ES_tradnl"/>
        </w:rPr>
        <w:t>fican los derechos, típicamente bajo títulos o capítulos del respectivo instrumento. Aunque se trata de un indicio importante, no todos los instrumentos normativos tratados aquí efectúan tal clasificación, y existe además en el conjunto de instrumentos ana</w:t>
      </w:r>
      <w:r>
        <w:rPr>
          <w:rFonts w:ascii="Times New Roman" w:hAnsi="Times New Roman"/>
          <w:sz w:val="24"/>
          <w:szCs w:val="24"/>
          <w:lang w:val="es-ES_tradnl"/>
        </w:rPr>
        <w:t>lizados variedad de criterios para clasificar los derechos y colocarlos bajo este o aquél compartimento. De modo que puede ser útil esbozar aquí los criterios que he utilizado para ordenar el recorrido.</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En mi opinión, la noción de derecho social alude prin</w:t>
      </w:r>
      <w:r>
        <w:rPr>
          <w:rFonts w:ascii="Times New Roman" w:hAnsi="Times New Roman"/>
          <w:sz w:val="24"/>
          <w:szCs w:val="24"/>
          <w:lang w:val="es-ES_tradnl"/>
        </w:rPr>
        <w:t>cipalmente al acceso y mantenimiento de condiciones para una vida digna – o para un “nivel de vida adecuado”, según la fórmula contenida en instrumentos internacionales de derechos humanos. Una definición estrecha haría hincapié en las condiciones material</w:t>
      </w:r>
      <w:r>
        <w:rPr>
          <w:rFonts w:ascii="Times New Roman" w:hAnsi="Times New Roman"/>
          <w:sz w:val="24"/>
          <w:szCs w:val="24"/>
          <w:lang w:val="es-ES_tradnl"/>
        </w:rPr>
        <w:t>es, mientras que una definición más amplia incluiría otros elementos – como los culturales o espirituales. La primera preocupación que subyace a la normativización de derechos sociales es la de asegurar esas condiciones a quienes no pueden hacerlo por su p</w:t>
      </w:r>
      <w:r>
        <w:rPr>
          <w:rFonts w:ascii="Times New Roman" w:hAnsi="Times New Roman"/>
          <w:sz w:val="24"/>
          <w:szCs w:val="24"/>
          <w:lang w:val="es-ES_tradnl"/>
        </w:rPr>
        <w:t>ropios medios y, una vez logrado ese objetivo, la de procurar su mejoramiento continuo. La fundamentación de la necesidad de incluir tales normas en un ordenamiento jurídico ha acudido a valores tales como la igualdad material, la dignidad humana o a la so</w:t>
      </w:r>
      <w:r>
        <w:rPr>
          <w:rFonts w:ascii="Times New Roman" w:hAnsi="Times New Roman"/>
          <w:sz w:val="24"/>
          <w:szCs w:val="24"/>
          <w:lang w:val="es-ES_tradnl"/>
        </w:rPr>
        <w:t>lidaridad.</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 xml:space="preserve">Por supuesto, qué se entienda por vida digna y cuáles serían las condiciones materiales y culturales o espirituales necesarias para alcanzarla son cuestiones abiertas al debate. El sentido de la normativización constitucional e internacional en </w:t>
      </w:r>
      <w:r>
        <w:rPr>
          <w:rFonts w:ascii="Times New Roman" w:hAnsi="Times New Roman"/>
          <w:sz w:val="24"/>
          <w:szCs w:val="24"/>
          <w:lang w:val="es-ES_tradnl"/>
        </w:rPr>
        <w:t xml:space="preserve">esta materia ofrece, sin embargo, algunas pautas para delinear los sucesivos consensos – relativos, fragmentarios, perfectibles – alcanzados nacional e internacionalmente sobre el punto. El acceso y las garantías para un trabajo adecuado u otras formas de </w:t>
      </w:r>
      <w:r>
        <w:rPr>
          <w:rFonts w:ascii="Times New Roman" w:hAnsi="Times New Roman"/>
          <w:sz w:val="24"/>
          <w:szCs w:val="24"/>
          <w:lang w:val="es-ES_tradnl"/>
        </w:rPr>
        <w:t xml:space="preserve">ingreso o de subsistencia, el acceso a ciertos bienes y </w:t>
      </w:r>
      <w:r>
        <w:rPr>
          <w:rFonts w:ascii="Times New Roman" w:hAnsi="Times New Roman"/>
          <w:sz w:val="24"/>
          <w:szCs w:val="24"/>
          <w:lang w:val="es-ES_tradnl"/>
        </w:rPr>
        <w:lastRenderedPageBreak/>
        <w:t>servicios – como vivienda, alimentación, servicios de salud, educación, agua – y la posibilidad de participar en actividades culturales y recreativas constituyen algunos de los temas comunes de este r</w:t>
      </w:r>
      <w:r>
        <w:rPr>
          <w:rFonts w:ascii="Times New Roman" w:hAnsi="Times New Roman"/>
          <w:sz w:val="24"/>
          <w:szCs w:val="24"/>
          <w:lang w:val="es-ES_tradnl"/>
        </w:rPr>
        <w:t xml:space="preserve">ecorrido. </w:t>
      </w:r>
      <w:r>
        <w:rPr>
          <w:rFonts w:ascii="Times New Roman" w:hAnsi="Times New Roman"/>
          <w:sz w:val="24"/>
          <w:szCs w:val="24"/>
          <w:lang w:val="es-ES_tradnl"/>
        </w:rPr>
        <w:cr/>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Otro abordaje tradicional a la cuestión de los derechos sociales pone énfasis en los sujetos destinatarios de atención o protección prioritaria por parte del Estado. El recorrido ofrecido por este trabajo permite identificar algunas líneas pers</w:t>
      </w:r>
      <w:r>
        <w:rPr>
          <w:rFonts w:ascii="Times New Roman" w:hAnsi="Times New Roman"/>
          <w:sz w:val="24"/>
          <w:szCs w:val="24"/>
          <w:lang w:val="es-ES_tradnl"/>
        </w:rPr>
        <w:t>istentes en este sentido – la atención prioritaria a la familia, a la maternidad, a la niñez, a las personas de edad, a las personas con discapacidad y a grupos de personas que han sufrido o sufren discriminación o se encuentran en situación de privación m</w:t>
      </w:r>
      <w:r>
        <w:rPr>
          <w:rFonts w:ascii="Times New Roman" w:hAnsi="Times New Roman"/>
          <w:sz w:val="24"/>
          <w:szCs w:val="24"/>
          <w:lang w:val="es-ES_tradnl"/>
        </w:rPr>
        <w:t>aterial o vulnerabilidad. Me parece posible conciliar esta línea con la anterior en la medida en que se entienda que la atención prioritaria a estos sujetos o grupos se funda en la detección de dificultades para asegurar por sus propios medios las condicio</w:t>
      </w:r>
      <w:r>
        <w:rPr>
          <w:rFonts w:ascii="Times New Roman" w:hAnsi="Times New Roman"/>
          <w:sz w:val="24"/>
          <w:szCs w:val="24"/>
          <w:lang w:val="es-ES_tradnl"/>
        </w:rPr>
        <w:t xml:space="preserve">nes para una vida digna y, por ende, que el tipo de intervención prevista está destinada a asegurar esas condiciones. </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Una segunda cuestión que emerge de la revisión de material normativo y de los debates teóricos que animan la discusión sobre derechos soc</w:t>
      </w:r>
      <w:r>
        <w:rPr>
          <w:rFonts w:ascii="Times New Roman" w:hAnsi="Times New Roman"/>
          <w:sz w:val="24"/>
          <w:szCs w:val="24"/>
          <w:lang w:val="es-ES_tradnl"/>
        </w:rPr>
        <w:t>iales se refiere a la forma jurídica en la que han sido – o sería deseable que fueran – abordadas estas materias a lo largo de su historia constitucional e internacional de normativización. Aquí salta a la vista una gran diversidad, a lo largo del tiempo y</w:t>
      </w:r>
      <w:r>
        <w:rPr>
          <w:rFonts w:ascii="Times New Roman" w:hAnsi="Times New Roman"/>
          <w:sz w:val="24"/>
          <w:szCs w:val="24"/>
          <w:lang w:val="es-ES_tradnl"/>
        </w:rPr>
        <w:t xml:space="preserve"> de la geografía mundial: en algunos casos se ha optado por reconocer derechos – a veces modalizados o condicionados –, en otros se ha preferido incluir declaraciones de principio (en el sentido de norma que expresa valores superiores), mandatos de distint</w:t>
      </w:r>
      <w:r>
        <w:rPr>
          <w:rFonts w:ascii="Times New Roman" w:hAnsi="Times New Roman"/>
          <w:sz w:val="24"/>
          <w:szCs w:val="24"/>
          <w:lang w:val="es-ES_tradnl"/>
        </w:rPr>
        <w:t xml:space="preserve">o tipo – como principios en sentido estricto, directrices, reglas de acción, reglas de fin –, habilitaciones para que el Estado actúe o legisle – con detalle de los contenidos mínimos o de las cuestiones que la legislación debe regular –, o bien garantías </w:t>
      </w:r>
      <w:r>
        <w:rPr>
          <w:rFonts w:ascii="Times New Roman" w:hAnsi="Times New Roman"/>
          <w:sz w:val="24"/>
          <w:szCs w:val="24"/>
          <w:lang w:val="es-ES_tradnl"/>
        </w:rPr>
        <w:t xml:space="preserve">institucionales. </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 xml:space="preserve">Esta diversidad es característica de las multiformes manifestaciones del llamado “constitucionalismo social”, de modo que resultaría artificial relevar solamente aquellos ejemplos en los que el tipo de consagración constitucional reviste </w:t>
      </w:r>
      <w:r>
        <w:rPr>
          <w:rFonts w:ascii="Times New Roman" w:hAnsi="Times New Roman"/>
          <w:sz w:val="24"/>
          <w:szCs w:val="24"/>
          <w:lang w:val="es-ES_tradnl"/>
        </w:rPr>
        <w:t>la forma de derechos, dejando de lado toda otra forma de normativización. Entender la historia de la constitucionalización de los derechos sociales exige también entender el proyecto político y jurídico subyacente, y para ello es importante entender las di</w:t>
      </w:r>
      <w:r>
        <w:rPr>
          <w:rFonts w:ascii="Times New Roman" w:hAnsi="Times New Roman"/>
          <w:sz w:val="24"/>
          <w:szCs w:val="24"/>
          <w:lang w:val="es-ES_tradnl"/>
        </w:rPr>
        <w:t>versas modalidades de traducción de mandatos sustantivos al Estado en materia económica y social.</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La diversidad de normas vinculadas con mandatos sustantivos en materia económica y social ha constituido también el paño de fondo de muchas discusiones teóric</w:t>
      </w:r>
      <w:r>
        <w:rPr>
          <w:rFonts w:ascii="Times New Roman" w:hAnsi="Times New Roman"/>
          <w:sz w:val="24"/>
          <w:szCs w:val="24"/>
          <w:lang w:val="es-ES_tradnl"/>
        </w:rPr>
        <w:t xml:space="preserve">as en la materia – por ejemplo, si tiene sentido configurar a los derechos sociales como derechos o conviene limitar la constitucionalización mandatos de carácter objetivo, si es posible concebirlos como derechos fundamentales, si la constitucionalización </w:t>
      </w:r>
      <w:r>
        <w:rPr>
          <w:rFonts w:ascii="Times New Roman" w:hAnsi="Times New Roman"/>
          <w:sz w:val="24"/>
          <w:szCs w:val="24"/>
          <w:lang w:val="es-ES_tradnl"/>
        </w:rPr>
        <w:t xml:space="preserve">de derechos sociales tiene sólo una función simbólica, ideológica o política, o por el contrario implica consecuencias normativas concretas, si es posible tutelar judicialmente estos derechos, y bajo qué criterios. El trabajo no pretende </w:t>
      </w:r>
      <w:r>
        <w:rPr>
          <w:rFonts w:ascii="Times New Roman" w:hAnsi="Times New Roman"/>
          <w:sz w:val="24"/>
          <w:szCs w:val="24"/>
          <w:lang w:val="es-ES_tradnl"/>
        </w:rPr>
        <w:lastRenderedPageBreak/>
        <w:t>debatir o responde</w:t>
      </w:r>
      <w:r>
        <w:rPr>
          <w:rFonts w:ascii="Times New Roman" w:hAnsi="Times New Roman"/>
          <w:sz w:val="24"/>
          <w:szCs w:val="24"/>
          <w:lang w:val="es-ES_tradnl"/>
        </w:rPr>
        <w:t>r estos interrogantes</w:t>
      </w:r>
      <w:r>
        <w:rPr>
          <w:rStyle w:val="Refdenotaalpie"/>
          <w:rFonts w:ascii="Times New Roman" w:hAnsi="Times New Roman"/>
          <w:sz w:val="24"/>
          <w:szCs w:val="24"/>
          <w:lang w:val="es-ES_tradnl"/>
        </w:rPr>
        <w:footnoteReference w:id="1"/>
      </w:r>
      <w:r>
        <w:rPr>
          <w:rFonts w:ascii="Times New Roman" w:hAnsi="Times New Roman"/>
          <w:sz w:val="24"/>
          <w:szCs w:val="24"/>
          <w:lang w:val="es-ES_tradnl"/>
        </w:rPr>
        <w:t>, pero puede servir para sondear algunas tendencias respecto de varios de ellos.</w:t>
      </w:r>
    </w:p>
    <w:p w:rsidR="00000000" w:rsidRDefault="007B5A38">
      <w:pPr>
        <w:jc w:val="both"/>
        <w:rPr>
          <w:rFonts w:ascii="Times New Roman" w:hAnsi="Times New Roman"/>
          <w:sz w:val="24"/>
          <w:szCs w:val="24"/>
          <w:lang w:val="es-ES_tradnl"/>
        </w:rPr>
      </w:pPr>
    </w:p>
    <w:p w:rsidR="00000000" w:rsidRDefault="007B5A38">
      <w:pPr>
        <w:jc w:val="both"/>
        <w:rPr>
          <w:rFonts w:ascii="Times New Roman" w:hAnsi="Times New Roman"/>
          <w:b/>
          <w:sz w:val="24"/>
          <w:szCs w:val="24"/>
          <w:lang w:val="es-ES_tradnl"/>
        </w:rPr>
      </w:pPr>
      <w:r>
        <w:rPr>
          <w:rFonts w:ascii="Times New Roman" w:hAnsi="Times New Roman"/>
          <w:sz w:val="24"/>
          <w:szCs w:val="24"/>
          <w:lang w:val="es-ES_tradnl"/>
        </w:rPr>
        <w:t xml:space="preserve">2) </w:t>
      </w:r>
      <w:r>
        <w:rPr>
          <w:rFonts w:ascii="Times New Roman" w:hAnsi="Times New Roman"/>
          <w:b/>
          <w:sz w:val="24"/>
          <w:szCs w:val="24"/>
          <w:lang w:val="es-ES_tradnl"/>
        </w:rPr>
        <w:t>LOS DERECHOS SOCIALES COMO DERECHOS CONSTITUCIONALES</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 xml:space="preserve">2.1) </w:t>
      </w:r>
      <w:r>
        <w:rPr>
          <w:rFonts w:ascii="Times New Roman" w:hAnsi="Times New Roman"/>
          <w:b/>
          <w:sz w:val="24"/>
          <w:szCs w:val="24"/>
          <w:lang w:val="es-ES_tradnl"/>
        </w:rPr>
        <w:t>Antecedentes: siglos XVIII y XIX</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 xml:space="preserve">Aunque el desarrollo del constitucionalismo social es una </w:t>
      </w:r>
      <w:r>
        <w:rPr>
          <w:rFonts w:ascii="Times New Roman" w:hAnsi="Times New Roman"/>
          <w:sz w:val="24"/>
          <w:szCs w:val="24"/>
          <w:lang w:val="es-ES_tradnl"/>
        </w:rPr>
        <w:t>tendencia típica del siglo XX, durante los siglos XVIII y XIX algunas preocupaciones características del republicanismo y del liberalismo progresista en materia social quedan reflejadas en declaraciones de derechos y textos constitucionales de la época. Tr</w:t>
      </w:r>
      <w:r>
        <w:rPr>
          <w:rFonts w:ascii="Times New Roman" w:hAnsi="Times New Roman"/>
          <w:sz w:val="24"/>
          <w:szCs w:val="24"/>
          <w:lang w:val="es-ES_tradnl"/>
        </w:rPr>
        <w:t>es áreas son dignas de mención en este sentido: la prohibición de la esclavitud y la servidumbre, la protección contra la pobreza y el aseguramiento de la educación pública.</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El constitucionalismo del siglo XIX constituye un espacio de resonancia privilegia</w:t>
      </w:r>
      <w:r>
        <w:rPr>
          <w:rFonts w:ascii="Times New Roman" w:hAnsi="Times New Roman"/>
          <w:sz w:val="24"/>
          <w:szCs w:val="24"/>
          <w:lang w:val="es-ES_tradnl"/>
        </w:rPr>
        <w:t>do de la batalla ideológica entre esclavistas y abolicionistas. El Acta Constitucional Francesa del 24 de junio de 1793 y la Declaración de Derechos del Hombre y del Ciudadano adjunta marcan, al respecto, la pauta en materia de consagración de la prohibici</w:t>
      </w:r>
      <w:r>
        <w:rPr>
          <w:rFonts w:ascii="Times New Roman" w:hAnsi="Times New Roman"/>
          <w:sz w:val="24"/>
          <w:szCs w:val="24"/>
          <w:lang w:val="es-ES_tradnl"/>
        </w:rPr>
        <w:t>ón de la esclavitud y de la servidumbre: de acuerdo con su artículo 18, “(t)odo hombre puede comprometer sus servicios y su tiempo, pero no venderse ni ser vendido; su persona no es una propiedad transmisible. La ley no reconoce servidumbre: sólo puede hab</w:t>
      </w:r>
      <w:r>
        <w:rPr>
          <w:rFonts w:ascii="Times New Roman" w:hAnsi="Times New Roman"/>
          <w:sz w:val="24"/>
          <w:szCs w:val="24"/>
          <w:lang w:val="es-ES_tradnl"/>
        </w:rPr>
        <w:t>er compromisos de ocupaciones y de reconocimientos entre el hombre que trabaja y el que le da empleo”.  Gran parte de las constituciones latinoamericanas del siglo XIX</w:t>
      </w:r>
      <w:r>
        <w:rPr>
          <w:rStyle w:val="Refdenotaalpie"/>
          <w:rFonts w:ascii="Times New Roman" w:hAnsi="Times New Roman"/>
          <w:sz w:val="24"/>
          <w:szCs w:val="24"/>
          <w:lang w:val="es-ES_tradnl"/>
        </w:rPr>
        <w:footnoteReference w:id="2"/>
      </w:r>
      <w:r>
        <w:rPr>
          <w:rFonts w:ascii="Times New Roman" w:hAnsi="Times New Roman"/>
          <w:sz w:val="24"/>
          <w:szCs w:val="24"/>
          <w:lang w:val="es-ES_tradnl"/>
        </w:rPr>
        <w:t xml:space="preserve"> incluye cláusulas similares, y el debate constituye también un capítulo importante del </w:t>
      </w:r>
      <w:r>
        <w:rPr>
          <w:rFonts w:ascii="Times New Roman" w:hAnsi="Times New Roman"/>
          <w:sz w:val="24"/>
          <w:szCs w:val="24"/>
          <w:lang w:val="es-ES_tradnl"/>
        </w:rPr>
        <w:t>constitucionalismo local en los Estados Unidos, coronado a nivel federal con la adopción en 1865 – como resultado del fin de la Guerra de la Secesión – de la denominada Enmienda XIII.</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Algunos textos constitucionales de los siglos XVIII y XIX abordan tambié</w:t>
      </w:r>
      <w:r>
        <w:rPr>
          <w:rFonts w:ascii="Times New Roman" w:hAnsi="Times New Roman"/>
          <w:sz w:val="24"/>
          <w:szCs w:val="24"/>
          <w:lang w:val="es-ES_tradnl"/>
        </w:rPr>
        <w:t xml:space="preserve">n la cuestión de la protección contra la pobreza como deber de las autoridades estatales. La Constitución francesa de 3 de septiembre de 1791, por ejemplo, establecía, dentro de las “Disposiciones </w:t>
      </w:r>
      <w:r>
        <w:rPr>
          <w:rFonts w:ascii="Times New Roman" w:hAnsi="Times New Roman"/>
          <w:sz w:val="24"/>
          <w:szCs w:val="24"/>
          <w:lang w:val="es-ES_tradnl"/>
        </w:rPr>
        <w:lastRenderedPageBreak/>
        <w:t xml:space="preserve">Fundamentales” del Título I, la creación y organización de </w:t>
      </w:r>
      <w:r>
        <w:rPr>
          <w:rFonts w:ascii="Times New Roman" w:hAnsi="Times New Roman"/>
          <w:sz w:val="24"/>
          <w:szCs w:val="24"/>
          <w:lang w:val="es-ES_tradnl"/>
        </w:rPr>
        <w:t>un establecimiento de socorros públicos, para educar a los niños abandonados, aliviar a los pobres enfermos y dar trabajo a los pobres en condiciones de hacerlo</w:t>
      </w:r>
      <w:r>
        <w:rPr>
          <w:rFonts w:ascii="Times New Roman" w:hAnsi="Times New Roman"/>
          <w:sz w:val="24"/>
          <w:szCs w:val="24"/>
          <w:vertAlign w:val="superscript"/>
          <w:lang w:val="es-ES_tradnl"/>
        </w:rPr>
        <w:footnoteReference w:id="3"/>
      </w:r>
      <w:r>
        <w:rPr>
          <w:rFonts w:ascii="Times New Roman" w:hAnsi="Times New Roman"/>
          <w:sz w:val="24"/>
          <w:szCs w:val="24"/>
          <w:lang w:val="es-ES_tradnl"/>
        </w:rPr>
        <w:t>. El Acta Constitucional Francesa del 24 de junio de 1793 y la Declaración de Derechos del Homb</w:t>
      </w:r>
      <w:r>
        <w:rPr>
          <w:rFonts w:ascii="Times New Roman" w:hAnsi="Times New Roman"/>
          <w:sz w:val="24"/>
          <w:szCs w:val="24"/>
          <w:lang w:val="es-ES_tradnl"/>
        </w:rPr>
        <w:t>re y del Ciudadano consagran el “derecho a la asistencia”, que prefigura la futura constitucionalización del derecho a la seguridad social, del siguiente modo: “(l)os socorros públicos son una deuda sagrada; la sociedad debe el sostenimiento a los ciudadan</w:t>
      </w:r>
      <w:r>
        <w:rPr>
          <w:rFonts w:ascii="Times New Roman" w:hAnsi="Times New Roman"/>
          <w:sz w:val="24"/>
          <w:szCs w:val="24"/>
          <w:lang w:val="es-ES_tradnl"/>
        </w:rPr>
        <w:t>os desgraciados, bien procurándoles trabajo, bien asegurándoles los medios de existencia a los que estén imposibilitados de trabajar” (artículo 21).</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idea de los derechos sociales como derechos a la existencia, volvería a resurgir con fuerza en el contex</w:t>
      </w:r>
      <w:r>
        <w:rPr>
          <w:rFonts w:ascii="Times New Roman" w:hAnsi="Times New Roman"/>
          <w:sz w:val="24"/>
          <w:szCs w:val="24"/>
          <w:lang w:val="es-AR"/>
        </w:rPr>
        <w:t xml:space="preserve">to de la revolución de 1848. Los primeros debates en torno al derecho al trabajo como derecho social datan también de esa época. Aunque este derecho no fue reconocido, una vez derrotada la insurrección obrera de junio, la Constitución </w:t>
      </w:r>
      <w:r>
        <w:rPr>
          <w:rFonts w:ascii="Times New Roman" w:hAnsi="Times New Roman"/>
          <w:sz w:val="24"/>
          <w:szCs w:val="24"/>
          <w:lang w:val="es-ES_tradnl"/>
        </w:rPr>
        <w:t>francesa de 4 de novi</w:t>
      </w:r>
      <w:r>
        <w:rPr>
          <w:rFonts w:ascii="Times New Roman" w:hAnsi="Times New Roman"/>
          <w:sz w:val="24"/>
          <w:szCs w:val="24"/>
          <w:lang w:val="es-ES_tradnl"/>
        </w:rPr>
        <w:t xml:space="preserve">embre de 1848 </w:t>
      </w:r>
      <w:r>
        <w:rPr>
          <w:rFonts w:ascii="Times New Roman" w:hAnsi="Times New Roman"/>
          <w:sz w:val="24"/>
          <w:szCs w:val="24"/>
          <w:lang w:val="es-AR"/>
        </w:rPr>
        <w:t>asignaría al Estado una serie</w:t>
      </w:r>
      <w:r>
        <w:rPr>
          <w:rFonts w:ascii="Times New Roman" w:hAnsi="Times New Roman"/>
          <w:sz w:val="24"/>
          <w:szCs w:val="24"/>
          <w:lang w:val="es-ES_tradnl"/>
        </w:rPr>
        <w:t xml:space="preserve"> de mandatos en materia social</w:t>
      </w:r>
      <w:r>
        <w:rPr>
          <w:rStyle w:val="Refdenotaalpie"/>
          <w:rFonts w:ascii="Times New Roman" w:hAnsi="Times New Roman"/>
          <w:sz w:val="24"/>
          <w:szCs w:val="24"/>
          <w:lang w:val="es-ES_tradnl"/>
        </w:rPr>
        <w:footnoteReference w:id="4"/>
      </w:r>
      <w:r>
        <w:rPr>
          <w:rFonts w:ascii="Times New Roman" w:hAnsi="Times New Roman"/>
          <w:sz w:val="24"/>
          <w:szCs w:val="24"/>
          <w:lang w:val="es-ES_tradnl"/>
        </w:rPr>
        <w:t>, incluyendo en su preámbulo el objetivo de lograr “un reparto cada vez más equitativo de las cargas y de las ventajas de la sociedad”, la protección del trabajo y el aseguramiento “</w:t>
      </w:r>
      <w:r>
        <w:rPr>
          <w:rFonts w:ascii="Times New Roman" w:hAnsi="Times New Roman"/>
          <w:sz w:val="24"/>
          <w:szCs w:val="24"/>
          <w:lang w:val="es-ES_tradnl"/>
        </w:rPr>
        <w:t xml:space="preserve">de la existencia de los ciudadanos necesitados, </w:t>
      </w:r>
      <w:r>
        <w:rPr>
          <w:rFonts w:ascii="Times New Roman" w:hAnsi="Times New Roman"/>
          <w:sz w:val="24"/>
          <w:szCs w:val="24"/>
          <w:lang w:val="es-AR"/>
        </w:rPr>
        <w:t> sea procurando trabajo en los límites de sus posibilidades, sea otorgando, en defecto de la familia, asistencia a los que no están en situación de trabajar”. Su artículo 13, situado en el capítulo de “Derech</w:t>
      </w:r>
      <w:r>
        <w:rPr>
          <w:rFonts w:ascii="Times New Roman" w:hAnsi="Times New Roman"/>
          <w:sz w:val="24"/>
          <w:szCs w:val="24"/>
          <w:lang w:val="es-AR"/>
        </w:rPr>
        <w:t>os de los ciudadanos garantizados por la Constitución”, constituye un importante antecedente del tipo de cláusula constitucional que se generalizaría durante el siglo XX en constituciones de orientación social: de acuerdo con la disposición, “la sociedad f</w:t>
      </w:r>
      <w:r>
        <w:rPr>
          <w:rFonts w:ascii="Times New Roman" w:hAnsi="Times New Roman"/>
          <w:sz w:val="24"/>
          <w:szCs w:val="24"/>
          <w:lang w:val="es-AR"/>
        </w:rPr>
        <w:t>avorece y fomenta el desarrollo del trabajo”, mencionando entre otras medidas para lograr ese fin “la igualdad de relaciones entre el patrono y el obrero, las instituciones de previsión y de crédito, las instituciones agrícolas, las asociaciones voluntaria</w:t>
      </w:r>
      <w:r>
        <w:rPr>
          <w:rFonts w:ascii="Times New Roman" w:hAnsi="Times New Roman"/>
          <w:sz w:val="24"/>
          <w:szCs w:val="24"/>
          <w:lang w:val="es-AR"/>
        </w:rPr>
        <w:t>s y el establecimiento por el Estado,  los departamentos y los municipios, de obras públicas adecuadas para emplear los brazos desocupados”. La disposición prosigue la tendencia ya marcada por el Acta Constitucional de 1793, al encomendar a la sociedad “la</w:t>
      </w:r>
      <w:r>
        <w:rPr>
          <w:rFonts w:ascii="Times New Roman" w:hAnsi="Times New Roman"/>
          <w:sz w:val="24"/>
          <w:szCs w:val="24"/>
          <w:lang w:val="es-AR"/>
        </w:rPr>
        <w:t xml:space="preserve"> asistencia a los niños abandonados, a los enfermos y a los ancianos sin medios económicos y que no pueden ser socorridos por sus familias”.</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En el mismo sentido, un rasgo importante del constitucionalismo republicano y  liberal progresista de los siglos XV</w:t>
      </w:r>
      <w:r>
        <w:rPr>
          <w:rFonts w:ascii="Times New Roman" w:hAnsi="Times New Roman"/>
          <w:sz w:val="24"/>
          <w:szCs w:val="24"/>
          <w:lang w:val="es-ES_tradnl"/>
        </w:rPr>
        <w:t xml:space="preserve">III y XIX consiste en la consagración de la educación o instrucción pública como un deber estatal fundamental.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los Estados Unidos, aunque la constitución federal no hace referencia a obligaciones en materia de instrucción pública, son las constitucione</w:t>
      </w:r>
      <w:r>
        <w:rPr>
          <w:rFonts w:ascii="Times New Roman" w:hAnsi="Times New Roman"/>
          <w:sz w:val="24"/>
          <w:szCs w:val="24"/>
          <w:lang w:val="es-AR"/>
        </w:rPr>
        <w:t xml:space="preserve">s de los diferentes estados que forman parte </w:t>
      </w:r>
      <w:r>
        <w:rPr>
          <w:rFonts w:ascii="Times New Roman" w:hAnsi="Times New Roman"/>
          <w:sz w:val="24"/>
          <w:szCs w:val="24"/>
          <w:lang w:val="es-AR"/>
        </w:rPr>
        <w:lastRenderedPageBreak/>
        <w:t>de la Unión los que incorporaron cláusulas referidas a deberes en materia educativa</w:t>
      </w:r>
      <w:r>
        <w:rPr>
          <w:rFonts w:ascii="Times New Roman" w:hAnsi="Times New Roman"/>
          <w:sz w:val="24"/>
          <w:szCs w:val="24"/>
          <w:vertAlign w:val="superscript"/>
          <w:lang w:val="es-AR"/>
        </w:rPr>
        <w:footnoteReference w:id="5"/>
      </w:r>
      <w:r>
        <w:rPr>
          <w:rFonts w:ascii="Times New Roman" w:hAnsi="Times New Roman"/>
          <w:sz w:val="24"/>
          <w:szCs w:val="24"/>
          <w:lang w:val="es-AR"/>
        </w:rPr>
        <w:t xml:space="preserve">. En el período comprendido entre 1776 y 1834, algunas constituciones hacen referencia al deber de promover la educación y las </w:t>
      </w:r>
      <w:r>
        <w:rPr>
          <w:rFonts w:ascii="Times New Roman" w:hAnsi="Times New Roman"/>
          <w:sz w:val="24"/>
          <w:szCs w:val="24"/>
          <w:lang w:val="es-AR"/>
        </w:rPr>
        <w:t>escuelas, de crear escuelas en cada pueblo, o bien de crear y mantener un sistema de educación pública</w:t>
      </w:r>
      <w:r>
        <w:rPr>
          <w:rStyle w:val="Refdenotaalpie"/>
          <w:rFonts w:ascii="Times New Roman" w:hAnsi="Times New Roman"/>
          <w:sz w:val="24"/>
          <w:szCs w:val="24"/>
          <w:lang w:val="es-AR"/>
        </w:rPr>
        <w:footnoteReference w:id="6"/>
      </w:r>
      <w:r>
        <w:rPr>
          <w:rFonts w:ascii="Times New Roman" w:hAnsi="Times New Roman"/>
          <w:sz w:val="24"/>
          <w:szCs w:val="24"/>
          <w:lang w:val="es-AR"/>
        </w:rPr>
        <w:t xml:space="preserve">. </w:t>
      </w:r>
    </w:p>
    <w:p w:rsidR="00000000" w:rsidRDefault="007B5A38">
      <w:pPr>
        <w:jc w:val="both"/>
        <w:rPr>
          <w:rFonts w:ascii="Times New Roman" w:hAnsi="Times New Roman"/>
          <w:sz w:val="24"/>
          <w:szCs w:val="24"/>
          <w:lang w:val="es-ES_tradnl"/>
        </w:rPr>
      </w:pPr>
      <w:r>
        <w:rPr>
          <w:rFonts w:ascii="Times New Roman" w:hAnsi="Times New Roman"/>
          <w:sz w:val="24"/>
          <w:szCs w:val="24"/>
          <w:lang w:val="es-AR"/>
        </w:rPr>
        <w:t>Durante el período que va de 1834 a 1901, en el que prácticamente se duplicó el número de estados integrados a la Unión, se generaliza la inclusión de</w:t>
      </w:r>
      <w:r>
        <w:rPr>
          <w:rFonts w:ascii="Times New Roman" w:hAnsi="Times New Roman"/>
          <w:sz w:val="24"/>
          <w:szCs w:val="24"/>
          <w:lang w:val="es-AR"/>
        </w:rPr>
        <w:t xml:space="preserve"> capítulo completos sobre educación, con cláusulas detalladas que ponen en cabeza del estado la creación y sostenimiento de un sistema general, uniforme y completo de escuelas públicas y gratuitas, estableciendo también las bases para el financiamiento de </w:t>
      </w:r>
      <w:r>
        <w:rPr>
          <w:rFonts w:ascii="Times New Roman" w:hAnsi="Times New Roman"/>
          <w:sz w:val="24"/>
          <w:szCs w:val="24"/>
          <w:lang w:val="es-AR"/>
        </w:rPr>
        <w:t>la educación pública</w:t>
      </w:r>
      <w:r>
        <w:rPr>
          <w:rStyle w:val="Refdenotaalpie"/>
          <w:rFonts w:ascii="Times New Roman" w:hAnsi="Times New Roman"/>
          <w:sz w:val="24"/>
          <w:szCs w:val="24"/>
          <w:lang w:val="es-AR"/>
        </w:rPr>
        <w:footnoteReference w:id="7"/>
      </w:r>
      <w:r>
        <w:rPr>
          <w:rFonts w:ascii="Times New Roman" w:hAnsi="Times New Roman"/>
          <w:sz w:val="24"/>
          <w:szCs w:val="24"/>
          <w:lang w:val="es-AR"/>
        </w:rPr>
        <w:t xml:space="preserve">. </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 xml:space="preserve">En el ideario republicano y liberal progresista europeo, el aseguramiento de la educación pública aparece como un medio privilegiado de maximización del desarrollo de las capacidades y talentos individuales, más allá de la posición </w:t>
      </w:r>
      <w:r>
        <w:rPr>
          <w:rFonts w:ascii="Times New Roman" w:hAnsi="Times New Roman"/>
          <w:sz w:val="24"/>
          <w:szCs w:val="24"/>
          <w:lang w:val="es-ES_tradnl"/>
        </w:rPr>
        <w:t>social y económica de la persona. También el Acta Constitucional Francesa del 24 de junio de 1793 y la Declaración de Derechos del Hombre y del Ciudadano inauguran una rica tradición de inclusión de cláusulas relativas a los deberes estatales en materia de</w:t>
      </w:r>
      <w:r>
        <w:rPr>
          <w:rFonts w:ascii="Times New Roman" w:hAnsi="Times New Roman"/>
          <w:sz w:val="24"/>
          <w:szCs w:val="24"/>
          <w:lang w:val="es-ES_tradnl"/>
        </w:rPr>
        <w:t xml:space="preserve"> instrucción pública que tiene manifestaciones en el constitucionalismo europeo, estadounidense y latinoamericano del siglo XIX. De acuerdo con el artículo 22 de dicha Declaración, “(l)a instrucción es una necesidad común. La sociedad debe favorecer con to</w:t>
      </w:r>
      <w:r>
        <w:rPr>
          <w:rFonts w:ascii="Times New Roman" w:hAnsi="Times New Roman"/>
          <w:sz w:val="24"/>
          <w:szCs w:val="24"/>
          <w:lang w:val="es-ES_tradnl"/>
        </w:rPr>
        <w:t>do su poder los progresos de la razón pública, y poner la instrucción al alcance de todos los ciudadanos”. La Constitución francesa de 1848 vincula en su artículo 13 el derecho al trabajo con “la enseñanza primaria gratuita” y “la educación profesional”.</w:t>
      </w:r>
    </w:p>
    <w:p w:rsidR="00000000" w:rsidRDefault="007B5A38">
      <w:pPr>
        <w:jc w:val="both"/>
        <w:rPr>
          <w:rFonts w:ascii="Times New Roman" w:hAnsi="Times New Roman"/>
          <w:sz w:val="24"/>
          <w:szCs w:val="24"/>
          <w:lang w:val="es-AR"/>
        </w:rPr>
      </w:pPr>
      <w:r>
        <w:rPr>
          <w:rFonts w:ascii="Times New Roman" w:hAnsi="Times New Roman"/>
          <w:sz w:val="24"/>
          <w:szCs w:val="24"/>
          <w:lang w:val="es-ES_tradnl"/>
        </w:rPr>
        <w:t>L</w:t>
      </w:r>
      <w:r>
        <w:rPr>
          <w:rFonts w:ascii="Times New Roman" w:hAnsi="Times New Roman"/>
          <w:sz w:val="24"/>
          <w:szCs w:val="24"/>
          <w:lang w:val="es-ES_tradnl"/>
        </w:rPr>
        <w:t>a Constitución de Cádiz de 1812 constituye el primer antecedente hispanoamericano al respecto, ejerciendo una notable influencia sobre las constituciones latinoamericanas del siglo XIX.  Así, el Título IX de esa constitución está dedicado íntegramente a la</w:t>
      </w:r>
      <w:r>
        <w:rPr>
          <w:rFonts w:ascii="Times New Roman" w:hAnsi="Times New Roman"/>
          <w:sz w:val="24"/>
          <w:szCs w:val="24"/>
          <w:lang w:val="es-ES_tradnl"/>
        </w:rPr>
        <w:t xml:space="preserve"> instrucción pública, </w:t>
      </w:r>
      <w:r>
        <w:rPr>
          <w:rFonts w:ascii="Times New Roman" w:hAnsi="Times New Roman"/>
          <w:sz w:val="24"/>
          <w:szCs w:val="24"/>
          <w:lang w:val="es-ES_tradnl"/>
        </w:rPr>
        <w:lastRenderedPageBreak/>
        <w:t>configurada detalladamente como deber del Estado y como garantía institucional. En un ejemplo de compromiso entre las ideas tradicionalistas y las liberales más avanzadas, el artículo 366 de esa Constitución establecía que</w:t>
      </w:r>
      <w:r>
        <w:rPr>
          <w:rFonts w:ascii="Times New Roman" w:hAnsi="Times New Roman"/>
          <w:sz w:val="24"/>
          <w:szCs w:val="24"/>
          <w:lang w:val="es-AR"/>
        </w:rPr>
        <w:t xml:space="preserve"> “(e)n todos</w:t>
      </w:r>
      <w:r>
        <w:rPr>
          <w:rFonts w:ascii="Times New Roman" w:hAnsi="Times New Roman"/>
          <w:sz w:val="24"/>
          <w:szCs w:val="24"/>
          <w:lang w:val="es-AR"/>
        </w:rPr>
        <w:t xml:space="preserve"> los pueblos de la Monarquía se establecerán escuelas de primeras letras, en las que se enseñará a los niños a leer, escribir y contar, y el catecismo de la religión católica, que comprenderá también una breve exposición de las obligaciones civiles”. En el</w:t>
      </w:r>
      <w:r>
        <w:rPr>
          <w:rFonts w:ascii="Times New Roman" w:hAnsi="Times New Roman"/>
          <w:sz w:val="24"/>
          <w:szCs w:val="24"/>
          <w:lang w:val="es-AR"/>
        </w:rPr>
        <w:t xml:space="preserve"> mismo sentido, se instituía la obligación estatal de arreglar y crear “el número competente de universidades y de otros establecimientos de instrucción, que se juzguen convenientes para la enseñanza de todas las ciencias, literatura y bellas artes” (art. </w:t>
      </w:r>
      <w:r>
        <w:rPr>
          <w:rFonts w:ascii="Times New Roman" w:hAnsi="Times New Roman"/>
          <w:sz w:val="24"/>
          <w:szCs w:val="24"/>
          <w:lang w:val="es-AR"/>
        </w:rPr>
        <w:t>367), de adoptar un plan general de enseñanza uniforme en todo el reino, con obligación de explicar la Constitución política de la Monarquía en todas las universidades y establecimientos de enseñanza humanista (artículo 368) y de establecer una dirección g</w:t>
      </w:r>
      <w:r>
        <w:rPr>
          <w:rFonts w:ascii="Times New Roman" w:hAnsi="Times New Roman"/>
          <w:sz w:val="24"/>
          <w:szCs w:val="24"/>
          <w:lang w:val="es-AR"/>
        </w:rPr>
        <w:t xml:space="preserve">eneral de estudios con la facultad de ejercer la inspección de la enseñanza pública (artículo 369), y asimismo la facultad general de las Cortes de legislar en materia de instrucción pública por medio de planes y estatutos especiales (artículo 370). </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Es in</w:t>
      </w:r>
      <w:r>
        <w:rPr>
          <w:rFonts w:ascii="Times New Roman" w:hAnsi="Times New Roman"/>
          <w:sz w:val="24"/>
          <w:szCs w:val="24"/>
          <w:lang w:val="es-ES_tradnl"/>
        </w:rPr>
        <w:t xml:space="preserve">teresante señalar además que  la Constitución de Cádiz incluye en el mismo capítulo – y después de señaladas las obligaciones estatales en materia de instrucción pública – la libertad de expresión, de imprenta y de publicación sin censura previa (artículo </w:t>
      </w:r>
      <w:r>
        <w:rPr>
          <w:rFonts w:ascii="Times New Roman" w:hAnsi="Times New Roman"/>
          <w:sz w:val="24"/>
          <w:szCs w:val="24"/>
          <w:lang w:val="es-ES_tradnl"/>
        </w:rPr>
        <w:t xml:space="preserve">370): esto parece indicar la conciencia de los constituyentes de Cádiz de la interdependencia entre el acceso a la educación y el ejercicio de la libertad de expresión.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En América Latina, el ideario republicano y el liberal progresista también se refleja </w:t>
      </w:r>
      <w:r>
        <w:rPr>
          <w:rFonts w:ascii="Times New Roman" w:hAnsi="Times New Roman"/>
          <w:sz w:val="24"/>
          <w:szCs w:val="24"/>
          <w:lang w:val="es-AR"/>
        </w:rPr>
        <w:t>en la historia constitucional de la región. Muchas las constituciones adoptadas en el siglo XIX reciben la influencia de la Constitución de Cádiz y de la experiencia constitucional estadounidense – de modo que son varios los ejemplos de introducción de clá</w:t>
      </w:r>
      <w:r>
        <w:rPr>
          <w:rFonts w:ascii="Times New Roman" w:hAnsi="Times New Roman"/>
          <w:sz w:val="24"/>
          <w:szCs w:val="24"/>
          <w:lang w:val="es-AR"/>
        </w:rPr>
        <w:t>usulas constitucionales que establecen obligaciones estatales en materia de educación o instrucción pública. La precursora Constitución Federal para los Estados de Venezuela de 1811 – anterior a la constitución de Cádiz, y de corta vida – es un buen ejempl</w:t>
      </w:r>
      <w:r>
        <w:rPr>
          <w:rFonts w:ascii="Times New Roman" w:hAnsi="Times New Roman"/>
          <w:sz w:val="24"/>
          <w:szCs w:val="24"/>
          <w:lang w:val="es-AR"/>
        </w:rPr>
        <w:t>o del papel asignado a la educación en el programa político revolucionario de los líderes independentistas latinoamericanos. Su artículo 200 contiene un elocuente diagnóstico de situación y el consecuente establecimiento de deberes a las autoridades provin</w:t>
      </w:r>
      <w:r>
        <w:rPr>
          <w:rFonts w:ascii="Times New Roman" w:hAnsi="Times New Roman"/>
          <w:sz w:val="24"/>
          <w:szCs w:val="24"/>
          <w:lang w:val="es-AR"/>
        </w:rPr>
        <w:t>ciales: “(c)omo la parte de ciudadanos que hasta hoy se han denominado Indios, no han conseguido el fruto apreciable de algunas leyes que la Monarquía Española dictó a su favor, porque los encargados del gobierno en estos países tenían olvidada su ejecució</w:t>
      </w:r>
      <w:r>
        <w:rPr>
          <w:rFonts w:ascii="Times New Roman" w:hAnsi="Times New Roman"/>
          <w:sz w:val="24"/>
          <w:szCs w:val="24"/>
          <w:lang w:val="es-AR"/>
        </w:rPr>
        <w:t xml:space="preserve">n; y como las basas del sistema de gobierno que en esta Constitución ha adoptado Venezuela, no son otras que la de la justicia y la igualdad, encarga muy particularmente a los Gobiernos provinciales, que así como han de aplicar sus fatigas y cuidados para </w:t>
      </w:r>
      <w:r>
        <w:rPr>
          <w:rFonts w:ascii="Times New Roman" w:hAnsi="Times New Roman"/>
          <w:sz w:val="24"/>
          <w:szCs w:val="24"/>
          <w:lang w:val="es-AR"/>
        </w:rPr>
        <w:t>conseguir la ilustración de todos los habitantes del Estado, proporcionarles escuelas, academias y colegios en donde aprendan todos los que quieran los principios de Religión, de la sana moral, de la política, de las ciencias y artes útiles y necesarias pa</w:t>
      </w:r>
      <w:r>
        <w:rPr>
          <w:rFonts w:ascii="Times New Roman" w:hAnsi="Times New Roman"/>
          <w:sz w:val="24"/>
          <w:szCs w:val="24"/>
          <w:lang w:val="es-AR"/>
        </w:rPr>
        <w:t>ra el sostenimiento y prosperidad de los pueblos, procuren por todos los medios posibles atraer a los referidos ciudadanos naturales a estas casa de ilustración y enseñanza, hacerles comprehender la íntima unión que tiene con todos los demás ciudadanos, la</w:t>
      </w:r>
      <w:r>
        <w:rPr>
          <w:rFonts w:ascii="Times New Roman" w:hAnsi="Times New Roman"/>
          <w:sz w:val="24"/>
          <w:szCs w:val="24"/>
          <w:lang w:val="es-AR"/>
        </w:rPr>
        <w:t xml:space="preserve">s consideraciones que como aquellos merecen del Gobierno y los derechos de que gozan por el solo hecho de ser hombres iguales a todos los de su especie, a fin de conseguir por este medio sacarlos del </w:t>
      </w:r>
      <w:r>
        <w:rPr>
          <w:rFonts w:ascii="Times New Roman" w:hAnsi="Times New Roman"/>
          <w:sz w:val="24"/>
          <w:szCs w:val="24"/>
          <w:lang w:val="es-AR"/>
        </w:rPr>
        <w:lastRenderedPageBreak/>
        <w:t>abatimiento y rusticidad en que los ha mantenido el anti</w:t>
      </w:r>
      <w:r>
        <w:rPr>
          <w:rFonts w:ascii="Times New Roman" w:hAnsi="Times New Roman"/>
          <w:sz w:val="24"/>
          <w:szCs w:val="24"/>
          <w:lang w:val="es-AR"/>
        </w:rPr>
        <w:t xml:space="preserve">guo estado de cosas y que no permanezcan por más tiempo aislados y aun temerosos de tratar a los demás hombres”.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venezolana de 1819, propuesta por Simón Bolívar, fue acompañada de un apéndice dedicado al denominado “poder moral”, que incl</w:t>
      </w:r>
      <w:r>
        <w:rPr>
          <w:rFonts w:ascii="Times New Roman" w:hAnsi="Times New Roman"/>
          <w:sz w:val="24"/>
          <w:szCs w:val="24"/>
          <w:lang w:val="es-AR"/>
        </w:rPr>
        <w:t>uía la creación de un curioso órgano bicameral, llamado Areópago. Una de las cámaras del Areópago era la cámara de educación, a la que se otorgaba autoridad plena e independiente sobre educación primaria. El apéndice describe con detalle en su sección terc</w:t>
      </w:r>
      <w:r>
        <w:rPr>
          <w:rFonts w:ascii="Times New Roman" w:hAnsi="Times New Roman"/>
          <w:sz w:val="24"/>
          <w:szCs w:val="24"/>
          <w:lang w:val="es-AR"/>
        </w:rPr>
        <w:t>era las atribuciones de la cámara de educación,  “encargada de la educación física y moral de los niños, desde su nacimiento hasta la edad de doce años cumplidos”. La cámara tenía atribuciones tales como las de establecer, organizar, y dirigir las escuelas</w:t>
      </w:r>
      <w:r>
        <w:rPr>
          <w:rFonts w:ascii="Times New Roman" w:hAnsi="Times New Roman"/>
          <w:sz w:val="24"/>
          <w:szCs w:val="24"/>
          <w:lang w:val="es-AR"/>
        </w:rPr>
        <w:t xml:space="preserve"> primarias, construir colegios, instituir planes de estudio, promover la participación de las madres en la educación de sus hijos, la formación de los docentes y la producción y la recopilación de obras científicas sobre educación.</w:t>
      </w:r>
    </w:p>
    <w:p w:rsidR="00000000" w:rsidRDefault="007B5A38">
      <w:pPr>
        <w:jc w:val="both"/>
        <w:rPr>
          <w:rFonts w:ascii="Times New Roman" w:hAnsi="Times New Roman"/>
          <w:sz w:val="24"/>
          <w:szCs w:val="24"/>
          <w:lang w:val="es-AR"/>
        </w:rPr>
      </w:pPr>
      <w:r>
        <w:rPr>
          <w:rFonts w:ascii="Times New Roman" w:hAnsi="Times New Roman"/>
          <w:sz w:val="24"/>
          <w:szCs w:val="24"/>
          <w:lang w:val="es-AR"/>
        </w:rPr>
        <w:t>De acuerdo con la Consti</w:t>
      </w:r>
      <w:r>
        <w:rPr>
          <w:rFonts w:ascii="Times New Roman" w:hAnsi="Times New Roman"/>
          <w:sz w:val="24"/>
          <w:szCs w:val="24"/>
          <w:lang w:val="es-AR"/>
        </w:rPr>
        <w:t>tución mexicana de Apatzingán (1814), “la instrucción, como necesaria a todos los ciudadanos, debe ser favorecida por la sociedad con todo su poder” (artículo 39), y en consecuencia se encomienda al Congreso “cuidar con singular esmero de la ilustración de</w:t>
      </w:r>
      <w:r>
        <w:rPr>
          <w:rFonts w:ascii="Times New Roman" w:hAnsi="Times New Roman"/>
          <w:sz w:val="24"/>
          <w:szCs w:val="24"/>
          <w:lang w:val="es-AR"/>
        </w:rPr>
        <w:t xml:space="preserve"> los pueblos” (artículo 117).  La Constitución mexicana de 1824 reconoce la facultad del Congreso federal de erigir establecimientos educativos, en concurrencia con la facultad de los estados “para el arreglo de la educación pública” (artículo 50 numeral I</w:t>
      </w:r>
      <w:r>
        <w:rPr>
          <w:rFonts w:ascii="Times New Roman" w:hAnsi="Times New Roman"/>
          <w:sz w:val="24"/>
          <w:szCs w:val="24"/>
          <w:lang w:val="es-AR"/>
        </w:rPr>
        <w:t xml:space="preserve">), y la de 1857 menciona le expedición de leyes para fundar colegios y escuelas prácticas de artes y oficios (artículo 32).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imperial brasileña de 1824 incluye una temprana mención a la gratuidad de la educación primaria (artículo 179, § 33</w:t>
      </w:r>
      <w:r>
        <w:rPr>
          <w:rFonts w:ascii="Times New Roman" w:hAnsi="Times New Roman"/>
          <w:sz w:val="24"/>
          <w:szCs w:val="24"/>
          <w:lang w:val="es-AR"/>
        </w:rPr>
        <w:t>), y hace referencia a la enseñanza en colegios y universidades (artículo 179, § 33). Su sucesora, la Constitución de 1891, faculta al Congreso Nacional a legislar sobre educación superior en todo el país y proveer la educación primaria y secundaria en los</w:t>
      </w:r>
      <w:r>
        <w:rPr>
          <w:rFonts w:ascii="Times New Roman" w:hAnsi="Times New Roman"/>
          <w:sz w:val="24"/>
          <w:szCs w:val="24"/>
          <w:lang w:val="es-AR"/>
        </w:rPr>
        <w:t xml:space="preserve"> territorios bajo jurisdicción federal (artículos 34, inciso 30 y 34 inciso 4º) y, en concurrencia con los Estados, promover el desarrollo de las letras, artes y ciencias y crear instituciones de enseñanza superior y secundaria (artículos 35, incisos 2º y </w:t>
      </w:r>
      <w:r>
        <w:rPr>
          <w:rFonts w:ascii="Times New Roman" w:hAnsi="Times New Roman"/>
          <w:sz w:val="24"/>
          <w:szCs w:val="24"/>
          <w:lang w:val="es-AR"/>
        </w:rPr>
        <w:t>3º).</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de la República Federal de Centroamérica de 1924 facultaba al Congreso a “dirigir la educación, estableciendo los principios generales más conformes al sistema popular y al progreso de las artes útiles y de las ciencias” (artículo 69 i</w:t>
      </w:r>
      <w:r>
        <w:rPr>
          <w:rFonts w:ascii="Times New Roman" w:hAnsi="Times New Roman"/>
          <w:sz w:val="24"/>
          <w:szCs w:val="24"/>
          <w:lang w:val="es-AR"/>
        </w:rPr>
        <w:t>nciso 14) y al poder legislativo de cada Estado a erigir establecimientos de instrucción pública (artículo 178 inciso 4).</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chilena de 1833 menciona a la educación pública como “atención preferente del Gobierno” (artículo 153) y establece obl</w:t>
      </w:r>
      <w:r>
        <w:rPr>
          <w:rFonts w:ascii="Times New Roman" w:hAnsi="Times New Roman"/>
          <w:sz w:val="24"/>
          <w:szCs w:val="24"/>
          <w:lang w:val="es-AR"/>
        </w:rPr>
        <w:t>igaciones y facultades en materia educativa para el gobierno nacional (artículo 154) y para las municipalidades (artículo 128 incisos 2 y 3). La Constitución argentina de 1853 requiere que las constituciones provinciales aseguren la educación primaria, com</w:t>
      </w:r>
      <w:r>
        <w:rPr>
          <w:rFonts w:ascii="Times New Roman" w:hAnsi="Times New Roman"/>
          <w:sz w:val="24"/>
          <w:szCs w:val="24"/>
          <w:lang w:val="es-AR"/>
        </w:rPr>
        <w:t>o requisito de respeto de la autonomía provincial (artículo 5), y faculta al Congreso Nacional a dictando planes de instrucción general y universitaria (artículo 64 inciso 16). La Constitución colombiana de 1886 establece el carácter gratuito de la instruc</w:t>
      </w:r>
      <w:r>
        <w:rPr>
          <w:rFonts w:ascii="Times New Roman" w:hAnsi="Times New Roman"/>
          <w:sz w:val="24"/>
          <w:szCs w:val="24"/>
          <w:lang w:val="es-AR"/>
        </w:rPr>
        <w:t>ción primaria, y su financiación con fondos públicos (artículo 41).</w:t>
      </w:r>
    </w:p>
    <w:p w:rsidR="00000000" w:rsidRDefault="007B5A38">
      <w:pPr>
        <w:jc w:val="both"/>
        <w:rPr>
          <w:rFonts w:ascii="Times New Roman" w:hAnsi="Times New Roman"/>
          <w:sz w:val="24"/>
          <w:szCs w:val="24"/>
          <w:lang w:val="es-ES_tradnl"/>
        </w:rPr>
      </w:pPr>
    </w:p>
    <w:p w:rsidR="00000000" w:rsidRDefault="007B5A38">
      <w:pPr>
        <w:jc w:val="both"/>
        <w:rPr>
          <w:rFonts w:ascii="Times New Roman" w:hAnsi="Times New Roman"/>
          <w:sz w:val="24"/>
          <w:szCs w:val="24"/>
          <w:lang w:val="es-ES_tradnl"/>
        </w:rPr>
      </w:pPr>
      <w:r>
        <w:rPr>
          <w:rFonts w:ascii="Times New Roman" w:hAnsi="Times New Roman"/>
          <w:b/>
          <w:sz w:val="24"/>
          <w:szCs w:val="24"/>
          <w:lang w:val="es-ES_tradnl"/>
        </w:rPr>
        <w:lastRenderedPageBreak/>
        <w:t>2.2) Constituciones de entreguerras (1917-1940)</w:t>
      </w:r>
    </w:p>
    <w:p w:rsidR="00000000" w:rsidRDefault="007B5A38">
      <w:pPr>
        <w:jc w:val="both"/>
        <w:rPr>
          <w:rFonts w:ascii="Times New Roman" w:hAnsi="Times New Roman"/>
          <w:sz w:val="24"/>
          <w:szCs w:val="24"/>
          <w:lang w:val="es-AR"/>
        </w:rPr>
      </w:pPr>
      <w:r>
        <w:rPr>
          <w:rFonts w:ascii="Times New Roman" w:hAnsi="Times New Roman"/>
          <w:sz w:val="24"/>
          <w:szCs w:val="24"/>
          <w:lang w:val="es-AR"/>
        </w:rPr>
        <w:t>Más allá de estos antecedentes, existe consenso entre los constitucionalistas e historiadores del derecho en considerar el período de entre</w:t>
      </w:r>
      <w:r>
        <w:rPr>
          <w:rFonts w:ascii="Times New Roman" w:hAnsi="Times New Roman"/>
          <w:sz w:val="24"/>
          <w:szCs w:val="24"/>
          <w:lang w:val="es-AR"/>
        </w:rPr>
        <w:t>guerras del siglo XX – 1914-1940 – como momento fundacional del denominado constitucionalismo social, es decir, como momento de introducción de algunas de las innovaciones normativas introducidas por el ya discutido modelo del Derecho Social generado en el</w:t>
      </w:r>
      <w:r>
        <w:rPr>
          <w:rFonts w:ascii="Times New Roman" w:hAnsi="Times New Roman"/>
          <w:sz w:val="24"/>
          <w:szCs w:val="24"/>
          <w:lang w:val="es-AR"/>
        </w:rPr>
        <w:t xml:space="preserve"> último tercio del Siglo XIX en el ámbito constitucional</w:t>
      </w:r>
      <w:r>
        <w:rPr>
          <w:rStyle w:val="Refdenotaalpie"/>
          <w:rFonts w:ascii="Times New Roman" w:hAnsi="Times New Roman"/>
          <w:sz w:val="24"/>
          <w:szCs w:val="24"/>
          <w:lang w:val="es-AR"/>
        </w:rPr>
        <w:footnoteReference w:id="8"/>
      </w:r>
      <w:r>
        <w:rPr>
          <w:rFonts w:ascii="Times New Roman" w:hAnsi="Times New Roman"/>
          <w:sz w:val="24"/>
          <w:szCs w:val="24"/>
          <w:lang w:val="es-AR"/>
        </w:rPr>
        <w:t>. Cabe aclarar desde ya que el alcance de la constitucionalización de las innovaciones introducidas por el modelo del Derecho Social no se limitan a la inclusión de derechos sociales en las declaraci</w:t>
      </w:r>
      <w:r>
        <w:rPr>
          <w:rFonts w:ascii="Times New Roman" w:hAnsi="Times New Roman"/>
          <w:sz w:val="24"/>
          <w:szCs w:val="24"/>
          <w:lang w:val="es-AR"/>
        </w:rPr>
        <w:t>ones de derechos fundamentales de las constituciones. Más aún, es posible afirmar que la constitucionalización de derechos sociales – al menos en el período de entreguerras – juega un papel menor en el concierto de las innovaciones constitucionales introdu</w:t>
      </w:r>
      <w:r>
        <w:rPr>
          <w:rFonts w:ascii="Times New Roman" w:hAnsi="Times New Roman"/>
          <w:sz w:val="24"/>
          <w:szCs w:val="24"/>
          <w:lang w:val="es-AR"/>
        </w:rPr>
        <w:t>cidas por el modelo del Derecho Social, que se completa con la desfundamentalización del derecho de propiedad y de la libertad de empresa, la habilitación de la intervención del Estado en la economía bajo justificaciones de carácter social, la inclusión ex</w:t>
      </w:r>
      <w:r>
        <w:rPr>
          <w:rFonts w:ascii="Times New Roman" w:hAnsi="Times New Roman"/>
          <w:sz w:val="24"/>
          <w:szCs w:val="24"/>
          <w:lang w:val="es-AR"/>
        </w:rPr>
        <w:t>presa de facultades legislativas en materia de derecho laboral, seguridad social y política social, con reconocimiento expreso de objetivos sustantivos a alcanzar, la introducción de garantías institucionales y el diseño de nuevas instituciones políticas q</w:t>
      </w:r>
      <w:r>
        <w:rPr>
          <w:rFonts w:ascii="Times New Roman" w:hAnsi="Times New Roman"/>
          <w:sz w:val="24"/>
          <w:szCs w:val="24"/>
          <w:lang w:val="es-AR"/>
        </w:rPr>
        <w:t>ue buscaban complementar la democracia liberal a través de la representación directa de trabajadores y empleadores. En todo caso, es necesario comprender la introducción de nuevos derechos constitucionales inspirados en el modelo del Derecho Social en el c</w:t>
      </w:r>
      <w:r>
        <w:rPr>
          <w:rFonts w:ascii="Times New Roman" w:hAnsi="Times New Roman"/>
          <w:sz w:val="24"/>
          <w:szCs w:val="24"/>
          <w:lang w:val="es-AR"/>
        </w:rPr>
        <w:t>ontexto de este abanico de innovaciones, teniendo en cuenta como trasfondo un cierto escepticismo del pensamiento socialista respecto de la idea de derecho subjetivo, bajo sospechas de individualismo, formalismo y origen burgués. En las constituciones soci</w:t>
      </w:r>
      <w:r>
        <w:rPr>
          <w:rFonts w:ascii="Times New Roman" w:hAnsi="Times New Roman"/>
          <w:sz w:val="24"/>
          <w:szCs w:val="24"/>
          <w:lang w:val="es-AR"/>
        </w:rPr>
        <w:t xml:space="preserve">ales de entreguerras, el énfasis para lograr objetivos de progreso social pasa fundamentalmente por dos elementos: el fortalecimiento de las facultades de actuación estatales en el ámbito que en modelo liberal </w:t>
      </w:r>
      <w:r>
        <w:rPr>
          <w:rFonts w:ascii="Times New Roman" w:hAnsi="Times New Roman"/>
          <w:sz w:val="24"/>
          <w:szCs w:val="24"/>
          <w:lang w:val="es-AR"/>
        </w:rPr>
        <w:lastRenderedPageBreak/>
        <w:t>clásico quedaban librados al mercado y la asun</w:t>
      </w:r>
      <w:r>
        <w:rPr>
          <w:rFonts w:ascii="Times New Roman" w:hAnsi="Times New Roman"/>
          <w:sz w:val="24"/>
          <w:szCs w:val="24"/>
          <w:lang w:val="es-AR"/>
        </w:rPr>
        <w:t>ción de fines constitucionales explícitos en materia social.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Un segundo rasgo característico de las constituciones sociales de entreguerras es la centralidad de la cuestión laboral como ámbito definitorio de la cuestión social. Una parte importante de las </w:t>
      </w:r>
      <w:r>
        <w:rPr>
          <w:rFonts w:ascii="Times New Roman" w:hAnsi="Times New Roman"/>
          <w:sz w:val="24"/>
          <w:szCs w:val="24"/>
          <w:lang w:val="es-AR"/>
        </w:rPr>
        <w:t>innovaciones introducidas por las constituciones de entreguerras – incluyendo la consagración de nuevos derechos fundamentales – consiste en la incorporación en el texto constitucional de instituciones que tienen su origen en el derecho laboral: regulación</w:t>
      </w:r>
      <w:r>
        <w:rPr>
          <w:rFonts w:ascii="Times New Roman" w:hAnsi="Times New Roman"/>
          <w:sz w:val="24"/>
          <w:szCs w:val="24"/>
          <w:lang w:val="es-AR"/>
        </w:rPr>
        <w:t xml:space="preserve"> estatal de la relación de trabajo, reconocimiento de sujetos colectivos como los sindicatos, establecimiento de derechos de los trabajadores y de obligaciones de los empleadores, diseño de instancias institucionales de diálogo social con representación de</w:t>
      </w:r>
      <w:r>
        <w:rPr>
          <w:rFonts w:ascii="Times New Roman" w:hAnsi="Times New Roman"/>
          <w:sz w:val="24"/>
          <w:szCs w:val="24"/>
          <w:lang w:val="es-AR"/>
        </w:rPr>
        <w:t>l Estado, trabajadores y empleadores. En países fundamentalmente agrícolas se advierte además la constitucionalización de instituciones de derecho agrario – tales como la regulación de la propiedad de la tierra y del régimen de trabajo agrario.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Para ilustr</w:t>
      </w:r>
      <w:r>
        <w:rPr>
          <w:rFonts w:ascii="Times New Roman" w:hAnsi="Times New Roman"/>
          <w:sz w:val="24"/>
          <w:szCs w:val="24"/>
          <w:lang w:val="es-AR"/>
        </w:rPr>
        <w:t>ar lo dicho hasta aquí, y sin ánimo de exhaustividad, efectuaremos un breve análisis  – centrado en los temas de interés para este trabajo – de algunas constituciones paradigmáticas de este período: la Constitución mexicana de 1917, las Constituciones sovi</w:t>
      </w:r>
      <w:r>
        <w:rPr>
          <w:rFonts w:ascii="Times New Roman" w:hAnsi="Times New Roman"/>
          <w:sz w:val="24"/>
          <w:szCs w:val="24"/>
          <w:lang w:val="es-AR"/>
        </w:rPr>
        <w:t>éticas de 1918, 1925 y 1936, la Constitución de Weimar (1919), la Constitución de la República Española (1931), y la Constitución irlandesa de 1937.</w:t>
      </w:r>
    </w:p>
    <w:p w:rsidR="00000000" w:rsidRDefault="007B5A38">
      <w:pPr>
        <w:jc w:val="both"/>
        <w:rPr>
          <w:rFonts w:ascii="Times New Roman" w:hAnsi="Times New Roman"/>
          <w:i/>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2.2.1. La Constitución mexicana de 1917</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llamada Constitución de Querétaro fue adoptada en el contexto d</w:t>
      </w:r>
      <w:r>
        <w:rPr>
          <w:rFonts w:ascii="Times New Roman" w:hAnsi="Times New Roman"/>
          <w:sz w:val="24"/>
          <w:szCs w:val="24"/>
          <w:lang w:val="es-AR"/>
        </w:rPr>
        <w:t>e las luchas sociales y conflictos armados que caracterizaron la denominada Revolución mexicana, y es considerada de modo prácticamente unánime como pionera del constitucionalismo social en la doctrina hispanoamericana.</w:t>
      </w:r>
      <w:r>
        <w:rPr>
          <w:rStyle w:val="Refdenotaalpie"/>
          <w:rFonts w:ascii="Times New Roman" w:hAnsi="Times New Roman"/>
          <w:sz w:val="24"/>
          <w:szCs w:val="24"/>
          <w:lang w:val="es-AR"/>
        </w:rPr>
        <w:footnoteReference w:id="9"/>
      </w:r>
      <w:r>
        <w:rPr>
          <w:rFonts w:ascii="Times New Roman" w:hAnsi="Times New Roman"/>
          <w:sz w:val="24"/>
          <w:szCs w:val="24"/>
          <w:lang w:val="es-AR"/>
        </w:rPr>
        <w:t xml:space="preserve"> La principal fuente de esta constit</w:t>
      </w:r>
      <w:r>
        <w:rPr>
          <w:rFonts w:ascii="Times New Roman" w:hAnsi="Times New Roman"/>
          <w:sz w:val="24"/>
          <w:szCs w:val="24"/>
          <w:lang w:val="es-AR"/>
        </w:rPr>
        <w:t xml:space="preserve">ución fue su antecedente, la Constitución mexicana de 1857, a la que se agregan básicamente tres innovaciones en materia social.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Dos de estas innovaciones se incluyen en el Capítulo Primero del Título Primero de la Constitución, dedicado a las denominadas</w:t>
      </w:r>
      <w:r>
        <w:rPr>
          <w:rFonts w:ascii="Times New Roman" w:hAnsi="Times New Roman"/>
          <w:sz w:val="24"/>
          <w:szCs w:val="24"/>
          <w:lang w:val="es-AR"/>
        </w:rPr>
        <w:t xml:space="preserve"> "Garantías individuales” – es decir, a la declaración </w:t>
      </w:r>
      <w:r>
        <w:rPr>
          <w:rFonts w:ascii="Times New Roman" w:hAnsi="Times New Roman"/>
          <w:sz w:val="24"/>
          <w:szCs w:val="24"/>
          <w:lang w:val="es-AR"/>
        </w:rPr>
        <w:lastRenderedPageBreak/>
        <w:t xml:space="preserve">de derechos. La primera es una revisión del artículo 5 de la Constitución de 1857, que prohibía las servidumbres personales. La versión renovada del artículo 5, incorporada en la Constitución de 1917, </w:t>
      </w:r>
      <w:r>
        <w:rPr>
          <w:rFonts w:ascii="Times New Roman" w:hAnsi="Times New Roman"/>
          <w:sz w:val="24"/>
          <w:szCs w:val="24"/>
          <w:lang w:val="es-AR"/>
        </w:rPr>
        <w:t>mantiene el espíritu del texto anterior, pero abunda con más detalle en el alcance de la prohibición de servidumbre, estableciendo exclusiones – no se considera servidumbre el trabajo impuesto como pena ni el cumplimiento de cargas cívicas – y aclarando su</w:t>
      </w:r>
      <w:r>
        <w:rPr>
          <w:rFonts w:ascii="Times New Roman" w:hAnsi="Times New Roman"/>
          <w:sz w:val="24"/>
          <w:szCs w:val="24"/>
          <w:lang w:val="es-AR"/>
        </w:rPr>
        <w:t xml:space="preserve"> aplicación al ámbito del contrato laboral: “El contrato de trabajo sólo obligará a prestar el servicio convenido por el tiempo que fije la ley, sin poder exceder de un año en perjuicio del trabajador, y no podrá extenderse, en ningún caso, a la renuncia, </w:t>
      </w:r>
      <w:r>
        <w:rPr>
          <w:rFonts w:ascii="Times New Roman" w:hAnsi="Times New Roman"/>
          <w:sz w:val="24"/>
          <w:szCs w:val="24"/>
          <w:lang w:val="es-AR"/>
        </w:rPr>
        <w:t>pérdida o menoscabo de cualquiera de los derechos políticos o civiles. (…) La falta de cumplimiento de dicho contrato, por lo que respecta al trabajador, sólo obligará a éste a la correspondientes responsabilidad civil, sin que en ningún caso pueda hacerse</w:t>
      </w:r>
      <w:r>
        <w:rPr>
          <w:rFonts w:ascii="Times New Roman" w:hAnsi="Times New Roman"/>
          <w:sz w:val="24"/>
          <w:szCs w:val="24"/>
          <w:lang w:val="es-AR"/>
        </w:rPr>
        <w:t xml:space="preserve"> coacción sobre su persona”.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La segunda innovación, de mayor peso, consistió en la inclusión de una extensa disposición destinada a la regulación de la propiedad de la tierra y de los recursos naturales, el artículo 27. Aunque esta disposición también se </w:t>
      </w:r>
      <w:r>
        <w:rPr>
          <w:rFonts w:ascii="Times New Roman" w:hAnsi="Times New Roman"/>
          <w:sz w:val="24"/>
          <w:szCs w:val="24"/>
          <w:lang w:val="es-AR"/>
        </w:rPr>
        <w:t>incluye en el Capítulo dedicado a las “Garantías individuales”, se trata en realidad de una cláusula en la que se reivindican las facultades estatales en materia de regulación de la propiedad de la tierra y recursos naturales, estableciéndose condiciones y</w:t>
      </w:r>
      <w:r>
        <w:rPr>
          <w:rFonts w:ascii="Times New Roman" w:hAnsi="Times New Roman"/>
          <w:sz w:val="24"/>
          <w:szCs w:val="24"/>
          <w:lang w:val="es-AR"/>
        </w:rPr>
        <w:t xml:space="preserve"> límites a la propiedad privada y objetivos de política pública  – como el fraccionamiento de los latifundios, el desarrollo de la pequeña propiedad, la creación de nuevos centros de población agrícola con las tierras y aguas indispensables, el fomento de </w:t>
      </w:r>
      <w:r>
        <w:rPr>
          <w:rFonts w:ascii="Times New Roman" w:hAnsi="Times New Roman"/>
          <w:sz w:val="24"/>
          <w:szCs w:val="24"/>
          <w:lang w:val="es-AR"/>
        </w:rPr>
        <w:t>la agricultura y la protección de los recursos naturales. La cláusula fija también con detalle las bases que deben contener las leyes federales y locales en materia de reforma agraria, incluyendo las condiciones y procedimiento de expropiación. En síntesis</w:t>
      </w:r>
      <w:r>
        <w:rPr>
          <w:rFonts w:ascii="Times New Roman" w:hAnsi="Times New Roman"/>
          <w:sz w:val="24"/>
          <w:szCs w:val="24"/>
          <w:lang w:val="es-AR"/>
        </w:rPr>
        <w:t>, el lenguaje utilizado por el artículo 27 de la Constitución de 1917 no está dirigido a consagrar explícitamente derechos, sino más bien a habilitar el ejercicio de facultades estatales en materia agraria y de recursos naturales. Marginalmente, la cláusul</w:t>
      </w:r>
      <w:r>
        <w:rPr>
          <w:rFonts w:ascii="Times New Roman" w:hAnsi="Times New Roman"/>
          <w:sz w:val="24"/>
          <w:szCs w:val="24"/>
          <w:lang w:val="es-AR"/>
        </w:rPr>
        <w:t>a reconoce algunos derechos de sujetos colectivos – “pueblos, rancherías y otras comunidades que carezcan de aguas y tierras” – a acceder a esos recursos. Estas menciones, sin embargo, son amplificadas en reformas constitucionales posteriores, y constituye</w:t>
      </w:r>
      <w:r>
        <w:rPr>
          <w:rFonts w:ascii="Times New Roman" w:hAnsi="Times New Roman"/>
          <w:sz w:val="24"/>
          <w:szCs w:val="24"/>
          <w:lang w:val="es-AR"/>
        </w:rPr>
        <w:t xml:space="preserve">n la base del  legislativo de una importante tradición de derecho agrario en México.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Paradójicamente, la innovación más trascendente y detallada de la Constitución mexicana de 1917 en materia de derechos sociales no se encuentra en el capítulo correspondi</w:t>
      </w:r>
      <w:r>
        <w:rPr>
          <w:rFonts w:ascii="Times New Roman" w:hAnsi="Times New Roman"/>
          <w:sz w:val="24"/>
          <w:szCs w:val="24"/>
          <w:lang w:val="es-AR"/>
        </w:rPr>
        <w:t>ente a la declaración de derechos de las personas, sino en un título específico ubicado en la parte orgánica de la Constitución. El título VI contiene un artículo único, el artículo 123, concebido como una extensísima disposición que fija la obligación del</w:t>
      </w:r>
      <w:r>
        <w:rPr>
          <w:rFonts w:ascii="Times New Roman" w:hAnsi="Times New Roman"/>
          <w:sz w:val="24"/>
          <w:szCs w:val="24"/>
          <w:lang w:val="es-AR"/>
        </w:rPr>
        <w:t xml:space="preserve"> Congreso de la Unión y de las Legislaturas de los Estados de legislar en materia de trabajo  – y en menor medida, en materia de seguridad social, protección del bien de familia y vivienda –, desarrollando minuciosamente las bases y el contenido mínimo al </w:t>
      </w:r>
      <w:r>
        <w:rPr>
          <w:rFonts w:ascii="Times New Roman" w:hAnsi="Times New Roman"/>
          <w:sz w:val="24"/>
          <w:szCs w:val="24"/>
          <w:lang w:val="es-AR"/>
        </w:rPr>
        <w:t xml:space="preserve">que debe ajustarse la legislación en estas materias. Las disposiciones relativas al régimen social serán modificadas y amplificadas a través de una serie de reformas constitucionales consecutivas. El artículo original – modificado en numerosas ocasiones – </w:t>
      </w:r>
      <w:r>
        <w:rPr>
          <w:rFonts w:ascii="Times New Roman" w:hAnsi="Times New Roman"/>
          <w:sz w:val="24"/>
          <w:szCs w:val="24"/>
          <w:lang w:val="es-AR"/>
        </w:rPr>
        <w:t xml:space="preserve"> contaba con treinta incisos, que establecían el contenido al que debía ajustarse la legislación en materia de jornada de trabajo, descansos, protección de las trabajadoras embarazadas, salario mínimo, obligaciones del empleador en materia de vivienda y ot</w:t>
      </w:r>
      <w:r>
        <w:rPr>
          <w:rFonts w:ascii="Times New Roman" w:hAnsi="Times New Roman"/>
          <w:sz w:val="24"/>
          <w:szCs w:val="24"/>
          <w:lang w:val="es-AR"/>
        </w:rPr>
        <w:t xml:space="preserve">ras, </w:t>
      </w:r>
      <w:r>
        <w:rPr>
          <w:rFonts w:ascii="Times New Roman" w:hAnsi="Times New Roman"/>
          <w:sz w:val="24"/>
          <w:szCs w:val="24"/>
          <w:lang w:val="es-AR"/>
        </w:rPr>
        <w:lastRenderedPageBreak/>
        <w:t>accidentes y enfermedades laborales, higiene y salubridad laboral, asociación sindical y patronal, huelga, resolución de conflictos laborales, protección contra el despido arbitrario, protección de créditos laborales, orden público laboral, bien de fa</w:t>
      </w:r>
      <w:r>
        <w:rPr>
          <w:rFonts w:ascii="Times New Roman" w:hAnsi="Times New Roman"/>
          <w:sz w:val="24"/>
          <w:szCs w:val="24"/>
          <w:lang w:val="es-AR"/>
        </w:rPr>
        <w:t xml:space="preserve">milia y fomento de las cajas de seguridad social y de las cooperativas de vivienda. Se trata de una disposición compleja, de la que pueden derivarse indirectamente derechos de los trabajadores – como consecuencia de una redacción que impone a la autoridad </w:t>
      </w:r>
      <w:r>
        <w:rPr>
          <w:rFonts w:ascii="Times New Roman" w:hAnsi="Times New Roman"/>
          <w:sz w:val="24"/>
          <w:szCs w:val="24"/>
          <w:lang w:val="es-AR"/>
        </w:rPr>
        <w:t>legislativa, entre muchas otras, la obligación de adoptar legislación que consagre derechos laborales e imponga correlativas obligaciones a los empleadores.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i/>
          <w:sz w:val="24"/>
          <w:szCs w:val="24"/>
          <w:lang w:val="es-MX"/>
        </w:rPr>
      </w:pPr>
      <w:r>
        <w:rPr>
          <w:rFonts w:ascii="Times New Roman" w:hAnsi="Times New Roman"/>
          <w:i/>
          <w:sz w:val="24"/>
          <w:szCs w:val="24"/>
          <w:lang w:val="es-MX"/>
        </w:rPr>
        <w:t>2.2.2 Las constituciones soviéticas de 1918, 1924 y 1936</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advenimiento de la revolución bolchevi</w:t>
      </w:r>
      <w:r>
        <w:rPr>
          <w:rFonts w:ascii="Times New Roman" w:hAnsi="Times New Roman"/>
          <w:sz w:val="24"/>
          <w:szCs w:val="24"/>
          <w:lang w:val="es-AR"/>
        </w:rPr>
        <w:t>que de octubre de 1917 constituyó también una hito ineludible en la historia de la proyección hacia el primer plano político e institucional de un ideario sustantivamente ligado con reivindicaciones afines a los derechos sociales. Amén de su futura influen</w:t>
      </w:r>
      <w:r>
        <w:rPr>
          <w:rFonts w:ascii="Times New Roman" w:hAnsi="Times New Roman"/>
          <w:sz w:val="24"/>
          <w:szCs w:val="24"/>
          <w:lang w:val="es-AR"/>
        </w:rPr>
        <w:t>cia en el ámbito de las demás manifestaciones del denominado “socialismo real” en todo el mundo durante el Siglo XX, la experiencia de la evolución soviética en materia constitucional ofrece además elementos de reflexión importantes sobre las complejas rel</w:t>
      </w:r>
      <w:r>
        <w:rPr>
          <w:rFonts w:ascii="Times New Roman" w:hAnsi="Times New Roman"/>
          <w:sz w:val="24"/>
          <w:szCs w:val="24"/>
          <w:lang w:val="es-AR"/>
        </w:rPr>
        <w:t xml:space="preserve">aciones entre utopismo revolucionario y forma jurídica.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el período comprendido entre la Revolución de Octubre de 1917 y el inicio de la segunda guerra mundial, la Unión Soviética adoptó tres constituciones sucesivas que reflejan a la vez distintas exig</w:t>
      </w:r>
      <w:r>
        <w:rPr>
          <w:rFonts w:ascii="Times New Roman" w:hAnsi="Times New Roman"/>
          <w:sz w:val="24"/>
          <w:szCs w:val="24"/>
          <w:lang w:val="es-AR"/>
        </w:rPr>
        <w:t xml:space="preserve">encias políticas de la transición revolucionaria y de la consolidación del Estado soviético, y un vertiginoso cambio de percepción de la función que el derecho está llamado a cumplir en una sociedad post-revolucionaria.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de 1918 fue adopta</w:t>
      </w:r>
      <w:r>
        <w:rPr>
          <w:rFonts w:ascii="Times New Roman" w:hAnsi="Times New Roman"/>
          <w:sz w:val="24"/>
          <w:szCs w:val="24"/>
          <w:lang w:val="es-AR"/>
        </w:rPr>
        <w:t xml:space="preserve">da en un período caracterizado por el auge del utopismo revolucionario y por un marcado antiformalismo jurídico: una de las premisas del marxismo inspirador de la revolución soviética era la de la gradual desaparición del derecho, de modo que el modelo de </w:t>
      </w:r>
      <w:r>
        <w:rPr>
          <w:rFonts w:ascii="Times New Roman" w:hAnsi="Times New Roman"/>
          <w:sz w:val="24"/>
          <w:szCs w:val="24"/>
          <w:lang w:val="es-AR"/>
        </w:rPr>
        <w:t>constitución adoptado es marcadamente experimental y conlleva la pretensión de trastocar las formas constitucionales características de la Europa occidental. En este modelo, la constitución se transforma en una hoja de ruta revolucionaria</w:t>
      </w:r>
      <w:r>
        <w:rPr>
          <w:rStyle w:val="Refdenotaalpie"/>
          <w:rFonts w:ascii="Times New Roman" w:hAnsi="Times New Roman"/>
          <w:sz w:val="24"/>
          <w:szCs w:val="24"/>
          <w:lang w:val="es-AR"/>
        </w:rPr>
        <w:footnoteReference w:id="10"/>
      </w:r>
      <w:r>
        <w:rPr>
          <w:rFonts w:ascii="Times New Roman" w:hAnsi="Times New Roman"/>
          <w:sz w:val="24"/>
          <w:szCs w:val="24"/>
          <w:lang w:val="es-AR"/>
        </w:rPr>
        <w:t xml:space="preserve"> – el texto de 19</w:t>
      </w:r>
      <w:r>
        <w:rPr>
          <w:rFonts w:ascii="Times New Roman" w:hAnsi="Times New Roman"/>
          <w:sz w:val="24"/>
          <w:szCs w:val="24"/>
          <w:lang w:val="es-AR"/>
        </w:rPr>
        <w:t>18 está cargado de diagnósticos políticos y de proclamas tanto sobre las motivaciones y objetivos de la revolución, como sobre los medios para cumplirlos. Poco espacio hay en este modelo para la articulación jurídica de derechos en un sentido técnico-juríd</w:t>
      </w:r>
      <w:r>
        <w:rPr>
          <w:rFonts w:ascii="Times New Roman" w:hAnsi="Times New Roman"/>
          <w:sz w:val="24"/>
          <w:szCs w:val="24"/>
          <w:lang w:val="es-AR"/>
        </w:rPr>
        <w:t>ico, más aún si se considera la tendencia – imperante en el pensamiento marxista revolucionario – de ligar la noción de derecho subjetivo con el derecho de propiedad y el individualismo burgués. Sin embargo, la noción política de derechos del hombre era am</w:t>
      </w:r>
      <w:r>
        <w:rPr>
          <w:rFonts w:ascii="Times New Roman" w:hAnsi="Times New Roman"/>
          <w:sz w:val="24"/>
          <w:szCs w:val="24"/>
          <w:lang w:val="es-AR"/>
        </w:rPr>
        <w:t xml:space="preserve">pliamente aceptada por los constituyentes soviéticos, que se sentían herederos de la revolución francesa – y por ende, llamados a </w:t>
      </w:r>
      <w:r>
        <w:rPr>
          <w:rFonts w:ascii="Times New Roman" w:hAnsi="Times New Roman"/>
          <w:sz w:val="24"/>
          <w:szCs w:val="24"/>
          <w:lang w:val="es-AR"/>
        </w:rPr>
        <w:lastRenderedPageBreak/>
        <w:t>actualizar, en el contexto político-ideológico de la revolución de 1917, la Declaración de los Derechos del Hombre y del Ciuda</w:t>
      </w:r>
      <w:r>
        <w:rPr>
          <w:rFonts w:ascii="Times New Roman" w:hAnsi="Times New Roman"/>
          <w:sz w:val="24"/>
          <w:szCs w:val="24"/>
          <w:lang w:val="es-AR"/>
        </w:rPr>
        <w:t>dano de 1789. El influjo de la adopción de la constitución de 1918 sienta el terreno para la adopción de constituciones reformistas en Europa occidental, como las de Weimar o la republicana española.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comienza con la llamada Declaración de l</w:t>
      </w:r>
      <w:r>
        <w:rPr>
          <w:rFonts w:ascii="Times New Roman" w:hAnsi="Times New Roman"/>
          <w:sz w:val="24"/>
          <w:szCs w:val="24"/>
          <w:lang w:val="es-AR"/>
        </w:rPr>
        <w:t>os Derechos del Pueblo Trabajador y Explotado, dedicada – más que a consagrar derechos en un sentido formal –  a exponer los objetivos del nuevo Estado soviético (“la abolición de la explotación del hombre por el hombre, la completa eliminación de la divis</w:t>
      </w:r>
      <w:r>
        <w:rPr>
          <w:rFonts w:ascii="Times New Roman" w:hAnsi="Times New Roman"/>
          <w:sz w:val="24"/>
          <w:szCs w:val="24"/>
          <w:lang w:val="es-AR"/>
        </w:rPr>
        <w:t xml:space="preserve">ión de la sociedad en clases, el implacable exterminio de los explotadores, la organización socialista de la sociedad y el triunfo del socialismo en todos los países”, artículo 3) y a identificar algunas de las medidas destinadas a lograrlos (entre ellos: </w:t>
      </w:r>
      <w:r>
        <w:rPr>
          <w:rFonts w:ascii="Times New Roman" w:hAnsi="Times New Roman"/>
          <w:sz w:val="24"/>
          <w:szCs w:val="24"/>
          <w:lang w:val="es-AR"/>
        </w:rPr>
        <w:t>la abolición de la propiedad privada de la tierra y su correlativa socialización, la nacionalización de los recursos naturales, el control obrero de los medios de producción y de transporte, artículo 3). En una segunda parte, dedicada a los principios gene</w:t>
      </w:r>
      <w:r>
        <w:rPr>
          <w:rFonts w:ascii="Times New Roman" w:hAnsi="Times New Roman"/>
          <w:sz w:val="24"/>
          <w:szCs w:val="24"/>
          <w:lang w:val="es-AR"/>
        </w:rPr>
        <w:t>rales de la República Socialista Soviética, se incluyen algunas disposiciones en las que identifican medidas específicas destinadas a lograr “genuino goce” de derechos y libertades por el pueblo trabajador (especialmente los artículos 13 al 17). Entre ello</w:t>
      </w:r>
      <w:r>
        <w:rPr>
          <w:rFonts w:ascii="Times New Roman" w:hAnsi="Times New Roman"/>
          <w:sz w:val="24"/>
          <w:szCs w:val="24"/>
          <w:lang w:val="es-AR"/>
        </w:rPr>
        <w:t>s, se destaca el artículo 17, que dispone que “(p)ara asegurar el acceso al conocimiento del pueblo trabajador la República Socialista Federativa Soviética Rusa hace suyo el propósito de proveer gratuitamente todos los niveles de educación a los trabajador</w:t>
      </w:r>
      <w:r>
        <w:rPr>
          <w:rFonts w:ascii="Times New Roman" w:hAnsi="Times New Roman"/>
          <w:sz w:val="24"/>
          <w:szCs w:val="24"/>
          <w:lang w:val="es-AR"/>
        </w:rPr>
        <w:t>es y a los campesinos pobres”. El artículo 18 declaraba el deber de trabajar, proclamando la consigna “el que no trabaja, no come”. El artículo 20 reconocía los derechos políticos de los extranjeros que residieran en Rusia con el propósito de trabajar, y e</w:t>
      </w:r>
      <w:r>
        <w:rPr>
          <w:rFonts w:ascii="Times New Roman" w:hAnsi="Times New Roman"/>
          <w:sz w:val="24"/>
          <w:szCs w:val="24"/>
          <w:lang w:val="es-AR"/>
        </w:rPr>
        <w:t>l artículo 22 proclamaba la igualdad de derechos de los ciudadanos independientemente de su raza o nacionalidad, y prohibía los privilegios o ventajas basados sobre estos criterios y la opresión de las minorías nacionales.  La parte orgánica de la Constitu</w:t>
      </w:r>
      <w:r>
        <w:rPr>
          <w:rFonts w:ascii="Times New Roman" w:hAnsi="Times New Roman"/>
          <w:sz w:val="24"/>
          <w:szCs w:val="24"/>
          <w:lang w:val="es-AR"/>
        </w:rPr>
        <w:t>ción creaba un Consejo de Comisionados del Pueblo, a cargo de la administración del país. El Consejo estaba compuesto por dieciocho comisariados, de los cuales una parte importante correspondía a asuntos sociales: Trabajo, Seguridad Social, Agricultura, Ed</w:t>
      </w:r>
      <w:r>
        <w:rPr>
          <w:rFonts w:ascii="Times New Roman" w:hAnsi="Times New Roman"/>
          <w:sz w:val="24"/>
          <w:szCs w:val="24"/>
          <w:lang w:val="es-AR"/>
        </w:rPr>
        <w:t xml:space="preserve">ucación Pública, Transporte, Alimentación y Salud Pública (artículo 43).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de 1924 es el resultado de un período de crisis económica, y refleja las necesidades de consolidación de una estructura político-institucional capaz de gestionar adec</w:t>
      </w:r>
      <w:r>
        <w:rPr>
          <w:rFonts w:ascii="Times New Roman" w:hAnsi="Times New Roman"/>
          <w:sz w:val="24"/>
          <w:szCs w:val="24"/>
          <w:lang w:val="es-AR"/>
        </w:rPr>
        <w:t>uadamente los múltiples desafíos de la socialización de la economía. Su objetivo central fue el de institucionalizar el tratado constitutivo de la Unión Soviética – del que participaron Rusia, Bielorrusia, Ucrania y Transcaucasia – creando órganos de gobie</w:t>
      </w:r>
      <w:r>
        <w:rPr>
          <w:rFonts w:ascii="Times New Roman" w:hAnsi="Times New Roman"/>
          <w:sz w:val="24"/>
          <w:szCs w:val="24"/>
          <w:lang w:val="es-AR"/>
        </w:rPr>
        <w:t>rno que tradujeran la nueva composición política de la unión. Este objetivo es presentado en el Preámbulo, y justificado como medio necesario para realizar el socialismo y resistir los ataques del imperialismo. Dada la mayor complejidad institucional gener</w:t>
      </w:r>
      <w:r>
        <w:rPr>
          <w:rFonts w:ascii="Times New Roman" w:hAnsi="Times New Roman"/>
          <w:sz w:val="24"/>
          <w:szCs w:val="24"/>
          <w:lang w:val="es-AR"/>
        </w:rPr>
        <w:t xml:space="preserve">ada por la federalización de las repúblicas, la nueva Constitución se dedica con cierto detalle a deslindar las competencias de la Unión y de las repúblicas que la forman, incluyendo las competencias en materia social La Constitución de 1924 se limitaba a </w:t>
      </w:r>
      <w:r>
        <w:rPr>
          <w:rFonts w:ascii="Times New Roman" w:hAnsi="Times New Roman"/>
          <w:sz w:val="24"/>
          <w:szCs w:val="24"/>
          <w:lang w:val="es-AR"/>
        </w:rPr>
        <w:t xml:space="preserve">la parte orgánica y no contaba con una declaración de derechos: su contenido axiológico se concentraba prácticamente en la proclama de objetivos del Estado socialista incluido en el preámbulo. </w:t>
      </w:r>
    </w:p>
    <w:p w:rsidR="00000000" w:rsidRDefault="007B5A38">
      <w:pPr>
        <w:jc w:val="both"/>
        <w:rPr>
          <w:rFonts w:ascii="Times New Roman" w:hAnsi="Times New Roman"/>
          <w:sz w:val="24"/>
          <w:szCs w:val="24"/>
          <w:lang w:val="es-AR"/>
        </w:rPr>
      </w:pPr>
      <w:r>
        <w:rPr>
          <w:rFonts w:ascii="Times New Roman" w:hAnsi="Times New Roman"/>
          <w:sz w:val="24"/>
          <w:szCs w:val="24"/>
          <w:lang w:val="es-AR"/>
        </w:rPr>
        <w:lastRenderedPageBreak/>
        <w:t>En la Constitución de 1936, adoptada en un período de consolid</w:t>
      </w:r>
      <w:r>
        <w:rPr>
          <w:rFonts w:ascii="Times New Roman" w:hAnsi="Times New Roman"/>
          <w:sz w:val="24"/>
          <w:szCs w:val="24"/>
          <w:lang w:val="es-AR"/>
        </w:rPr>
        <w:t>ación del estado socialista, los elementos experimentales y antiformalistas ceden, en favor de un modelo híbrido de constitución que, sin dejar de lado la declamación de grandes principios revolucionarios, sigue en mayor medida la estructura de sus equival</w:t>
      </w:r>
      <w:r>
        <w:rPr>
          <w:rFonts w:ascii="Times New Roman" w:hAnsi="Times New Roman"/>
          <w:sz w:val="24"/>
          <w:szCs w:val="24"/>
          <w:lang w:val="es-AR"/>
        </w:rPr>
        <w:t>entes de Europa Occidental</w:t>
      </w:r>
      <w:r>
        <w:rPr>
          <w:rStyle w:val="Refdenotaalpie"/>
          <w:rFonts w:ascii="Times New Roman" w:hAnsi="Times New Roman"/>
          <w:sz w:val="24"/>
          <w:szCs w:val="24"/>
          <w:lang w:val="es-AR"/>
        </w:rPr>
        <w:footnoteReference w:id="11"/>
      </w:r>
      <w:r>
        <w:rPr>
          <w:rFonts w:ascii="Times New Roman" w:hAnsi="Times New Roman"/>
          <w:sz w:val="24"/>
          <w:szCs w:val="24"/>
          <w:lang w:val="es-AR"/>
        </w:rPr>
        <w:t xml:space="preserve">. En contraste con las Constituciones de 1918 y 1924, una novedad de la de 1936 es la inclusión de un capítulo dedicado a los derechos fundamentales, que coexiste con un capítulo denominado “Organización social”. El contenido de </w:t>
      </w:r>
      <w:r>
        <w:rPr>
          <w:rFonts w:ascii="Times New Roman" w:hAnsi="Times New Roman"/>
          <w:sz w:val="24"/>
          <w:szCs w:val="24"/>
          <w:lang w:val="es-AR"/>
        </w:rPr>
        <w:t>la Declaración de los Derechos del Pueblo Trabajador y Explotado de la Constitución de 1918 aparece en este caso repartido entre esos dos capítulos: mientras el capítulo I, dedicado a la “Organización social” proclama las bases e instituciones fundamentale</w:t>
      </w:r>
      <w:r>
        <w:rPr>
          <w:rFonts w:ascii="Times New Roman" w:hAnsi="Times New Roman"/>
          <w:sz w:val="24"/>
          <w:szCs w:val="24"/>
          <w:lang w:val="es-AR"/>
        </w:rPr>
        <w:t>s del Estado socialista, el capítulo X, dedicado a los “Derechos y deberes fundamentales de los ciudadanos”, articula de modo más convencional derechos, y los vincula con instituciones y medidas destinadas a “garantizarlos”. En este contexto, la Constituci</w:t>
      </w:r>
      <w:r>
        <w:rPr>
          <w:rFonts w:ascii="Times New Roman" w:hAnsi="Times New Roman"/>
          <w:sz w:val="24"/>
          <w:szCs w:val="24"/>
          <w:lang w:val="es-AR"/>
        </w:rPr>
        <w:t>ón incluye varios derechos sociales: el derecho al trabajo (artículo 118), el derecho al descanso, limitación de la jornada laboral y vacaciones, (artículo 119), el derecho a la asociación sindical (artículo 126), el derecho a la seguridad y protección soc</w:t>
      </w:r>
      <w:r>
        <w:rPr>
          <w:rFonts w:ascii="Times New Roman" w:hAnsi="Times New Roman"/>
          <w:sz w:val="24"/>
          <w:szCs w:val="24"/>
          <w:lang w:val="es-AR"/>
        </w:rPr>
        <w:t>ial (artículo 120), el derecho a la educación (artículo 121) y la igualdad de la mujer y el hombre en todos los ámbitos de la vida económica, pública, cultural, social y política (artículo 122). El capítulo contenía también “deberes fundamentales” de los c</w:t>
      </w:r>
      <w:r>
        <w:rPr>
          <w:rFonts w:ascii="Times New Roman" w:hAnsi="Times New Roman"/>
          <w:sz w:val="24"/>
          <w:szCs w:val="24"/>
          <w:lang w:val="es-AR"/>
        </w:rPr>
        <w:t>iudadanos: entre ellos, el deber de observar la constitución y las leyes, el de cuidar y fortalecer la propiedad social, el de cumplir el servicio militar obligatorio y el de defender a la patria.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La constitución soviética de 1936, cuya vigencia persistió </w:t>
      </w:r>
      <w:r>
        <w:rPr>
          <w:rFonts w:ascii="Times New Roman" w:hAnsi="Times New Roman"/>
          <w:sz w:val="24"/>
          <w:szCs w:val="24"/>
          <w:lang w:val="es-AR"/>
        </w:rPr>
        <w:t>hasta 1977, tuvo particular influencia durante gran parte del siglo XX en las experiencias constitucionales de los países de Europa del Este, de la República Popular China</w:t>
      </w:r>
      <w:r>
        <w:rPr>
          <w:rStyle w:val="Refdenotaalpie"/>
          <w:rFonts w:ascii="Times New Roman" w:hAnsi="Times New Roman"/>
          <w:sz w:val="24"/>
          <w:szCs w:val="24"/>
          <w:lang w:val="es-AR"/>
        </w:rPr>
        <w:footnoteReference w:id="12"/>
      </w:r>
      <w:r>
        <w:rPr>
          <w:rFonts w:ascii="Times New Roman" w:hAnsi="Times New Roman"/>
          <w:sz w:val="24"/>
          <w:szCs w:val="24"/>
          <w:lang w:val="es-AR"/>
        </w:rPr>
        <w:t xml:space="preserve"> y de países socialistas de África y Asia. </w:t>
      </w:r>
    </w:p>
    <w:p w:rsidR="00000000" w:rsidRDefault="007B5A38">
      <w:pPr>
        <w:jc w:val="both"/>
        <w:rPr>
          <w:rFonts w:ascii="Times New Roman" w:hAnsi="Times New Roman"/>
          <w:b/>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2.2.3. La Constitución de Weimar (1919)</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del Reich Alemán de 11 de agosto de 1919, conocida como Constitución de Weimar, es – pese a su corta y fallida vigencia – generalmente considerada la primera manifestación completa de constitucionalismo social en el continente europeo, y e</w:t>
      </w:r>
      <w:r>
        <w:rPr>
          <w:rFonts w:ascii="Times New Roman" w:hAnsi="Times New Roman"/>
          <w:sz w:val="24"/>
          <w:szCs w:val="24"/>
          <w:lang w:val="es-AR"/>
        </w:rPr>
        <w:t>jemplo paradigmático del no siempre sencillo intento de reflejar en una constitución un papel en el que el Estado concilia reivindicaciones políticas en tensión. En el caso de la Constitución de Weimar, es evidente el intento de hacer explícito un papel me</w:t>
      </w:r>
      <w:r>
        <w:rPr>
          <w:rFonts w:ascii="Times New Roman" w:hAnsi="Times New Roman"/>
          <w:sz w:val="24"/>
          <w:szCs w:val="24"/>
          <w:lang w:val="es-AR"/>
        </w:rPr>
        <w:t xml:space="preserve">diador del Estado en el conflicto entre capital y trabajo, y entre el reconocimiento de instituciones sociales tradicionales – como la familia y la iglesia – y la experimentación de nuevas formas de organización política que </w:t>
      </w:r>
      <w:r>
        <w:rPr>
          <w:rFonts w:ascii="Times New Roman" w:hAnsi="Times New Roman"/>
          <w:sz w:val="24"/>
          <w:szCs w:val="24"/>
          <w:lang w:val="es-AR"/>
        </w:rPr>
        <w:lastRenderedPageBreak/>
        <w:t>incluyeran a los trabajadores y</w:t>
      </w:r>
      <w:r>
        <w:rPr>
          <w:rFonts w:ascii="Times New Roman" w:hAnsi="Times New Roman"/>
          <w:sz w:val="24"/>
          <w:szCs w:val="24"/>
          <w:lang w:val="es-AR"/>
        </w:rPr>
        <w:t xml:space="preserve"> a los sindicatos. Gran parte de las innovaciones de la Constitución de Weimar en este sentido aparecen ubicadas en la Parte Segunda de la Constitución, dedicada a los Derechos y Deberes Fundamentales de los Alemanes</w:t>
      </w:r>
      <w:r>
        <w:rPr>
          <w:rStyle w:val="Refdenotaalpie"/>
          <w:rFonts w:ascii="Times New Roman" w:hAnsi="Times New Roman"/>
          <w:sz w:val="24"/>
          <w:szCs w:val="24"/>
          <w:lang w:val="es-AR"/>
        </w:rPr>
        <w:footnoteReference w:id="13"/>
      </w:r>
      <w:r>
        <w:rPr>
          <w:rFonts w:ascii="Times New Roman" w:hAnsi="Times New Roman"/>
          <w:sz w:val="24"/>
          <w:szCs w:val="24"/>
          <w:lang w:val="es-AR"/>
        </w:rPr>
        <w:t>.</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esta parte, cuya concepción suscit</w:t>
      </w:r>
      <w:r>
        <w:rPr>
          <w:rFonts w:ascii="Times New Roman" w:hAnsi="Times New Roman"/>
          <w:sz w:val="24"/>
          <w:szCs w:val="24"/>
          <w:lang w:val="es-AR"/>
        </w:rPr>
        <w:t>ó los debates más apasionados de la Asamblea Nacional que consideró el proyecto de Constitución, junto con una lista más o menos tradicional de derechos de libertad inspirada en las declaraciones de derechos de las constituciones liberales del Siglo XIX, s</w:t>
      </w:r>
      <w:r>
        <w:rPr>
          <w:rFonts w:ascii="Times New Roman" w:hAnsi="Times New Roman"/>
          <w:sz w:val="24"/>
          <w:szCs w:val="24"/>
          <w:lang w:val="es-AR"/>
        </w:rPr>
        <w:t>e sitúan una serie de innovaciones normativas. Entre ellas pueden contarse la caracterización de derechos y de deberes por ámbitos (la persona individual, vida social, religión y comunidades religiosas, educación e instituciones de enseñanza, vida económic</w:t>
      </w:r>
      <w:r>
        <w:rPr>
          <w:rFonts w:ascii="Times New Roman" w:hAnsi="Times New Roman"/>
          <w:sz w:val="24"/>
          <w:szCs w:val="24"/>
          <w:lang w:val="es-AR"/>
        </w:rPr>
        <w:t>a), la inclusión de garantías institucionales, de mandatos materiales y de obligaciones de legislación para el Estado, de habilitaciones de actuación del Estado en el ámbito de la economía, y de algunos derechos novedosos, particularmente en el ámbito labo</w:t>
      </w:r>
      <w:r>
        <w:rPr>
          <w:rFonts w:ascii="Times New Roman" w:hAnsi="Times New Roman"/>
          <w:sz w:val="24"/>
          <w:szCs w:val="24"/>
          <w:lang w:val="es-AR"/>
        </w:rPr>
        <w:t>ral, además de la creación de consejos obreros y consejos económicos.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Bajo el capítulo de “Vida social”, la Constitución incluía cláusulas novedosas de protección de la familia y de la maternidad, y el derecho de las familias numerosas a recibir protección</w:t>
      </w:r>
      <w:r>
        <w:rPr>
          <w:rFonts w:ascii="Times New Roman" w:hAnsi="Times New Roman"/>
          <w:sz w:val="24"/>
          <w:szCs w:val="24"/>
          <w:lang w:val="es-AR"/>
        </w:rPr>
        <w:t xml:space="preserve"> social (artículo 119), el derecho y deber de los padres de educar a sus hijos (artículo 120), la igualdad protección de la ley a los hijos nacidos dentro y fuera del matrimonio (artículo 121), la protección de la juventud (artículo 122), y una serie de ar</w:t>
      </w:r>
      <w:r>
        <w:rPr>
          <w:rFonts w:ascii="Times New Roman" w:hAnsi="Times New Roman"/>
          <w:sz w:val="24"/>
          <w:szCs w:val="24"/>
          <w:lang w:val="es-AR"/>
        </w:rPr>
        <w:t>tículos dirigidos a garantizar la imparcialidad y profesionalismo de la administración pública y de sus funcionarios – incluyendo el reconocimiento de la responsabilidad del Estado por hechos cometidos por los funcionarios públicos en el ejercicio de sus f</w:t>
      </w:r>
      <w:r>
        <w:rPr>
          <w:rFonts w:ascii="Times New Roman" w:hAnsi="Times New Roman"/>
          <w:sz w:val="24"/>
          <w:szCs w:val="24"/>
          <w:lang w:val="es-AR"/>
        </w:rPr>
        <w:t xml:space="preserve">unciones (artículos 128 a 131).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cuarto capítulo de la parte de Derechos y Deberes estaba dedicado a la educación e instituciones de enseñanza.  En este capítulo se establecía la obligación del Estado de proveer educación a la juventud en establecimient</w:t>
      </w:r>
      <w:r>
        <w:rPr>
          <w:rFonts w:ascii="Times New Roman" w:hAnsi="Times New Roman"/>
          <w:sz w:val="24"/>
          <w:szCs w:val="24"/>
          <w:lang w:val="es-AR"/>
        </w:rPr>
        <w:t>os públicos, la supervisión estatal de la educación, la obligatoriedad de la educación, la gratuidad y obligatoriedad de la escuela primaria y secundaria y de los materiales de estudio, las bases de organización del sistema educativo – dentro de las que se</w:t>
      </w:r>
      <w:r>
        <w:rPr>
          <w:rFonts w:ascii="Times New Roman" w:hAnsi="Times New Roman"/>
          <w:sz w:val="24"/>
          <w:szCs w:val="24"/>
          <w:lang w:val="es-AR"/>
        </w:rPr>
        <w:t xml:space="preserve"> destaca la consideración del mérito y vocación de los alumnos, y no su condición económica o social o la confesión religiosa de sus padres, como base para la admisión en el sistema educativo –, la posibilidad de establecimiento de escuelas que corresponda</w:t>
      </w:r>
      <w:r>
        <w:rPr>
          <w:rFonts w:ascii="Times New Roman" w:hAnsi="Times New Roman"/>
          <w:sz w:val="24"/>
          <w:szCs w:val="24"/>
          <w:lang w:val="es-AR"/>
        </w:rPr>
        <w:t>n a las confesiones religiosas o convicciones filosóficas de los padres, y la obligación del estado de proporcionar becas y ayudas materiales para permitir a los alumnos de menores ingresos acceder a los niveles secundario y terciario de educación (artícul</w:t>
      </w:r>
      <w:r>
        <w:rPr>
          <w:rFonts w:ascii="Times New Roman" w:hAnsi="Times New Roman"/>
          <w:sz w:val="24"/>
          <w:szCs w:val="24"/>
          <w:lang w:val="es-AR"/>
        </w:rPr>
        <w:t xml:space="preserve">os 143 a </w:t>
      </w:r>
      <w:r>
        <w:rPr>
          <w:rFonts w:ascii="Times New Roman" w:hAnsi="Times New Roman"/>
          <w:sz w:val="24"/>
          <w:szCs w:val="24"/>
          <w:lang w:val="es-AR"/>
        </w:rPr>
        <w:lastRenderedPageBreak/>
        <w:t>146). La posibilidad de funcionamiento de escuelas primarias privadas como sustitutivas de la prestación del servicio por el Estado se sometía a la aprobación estatal, bajo el cumplimiento de ciertas condiciones – entre las que se encontraba el cu</w:t>
      </w:r>
      <w:r>
        <w:rPr>
          <w:rFonts w:ascii="Times New Roman" w:hAnsi="Times New Roman"/>
          <w:sz w:val="24"/>
          <w:szCs w:val="24"/>
          <w:lang w:val="es-AR"/>
        </w:rPr>
        <w:t xml:space="preserve">mplimiento de estándares educativos fijados por el Estado, la adecuación de las instalaciones y capacitación del personal docente, y la obligación de no discriminar a los alumnos sobre la base de su condición socioeconómica (artículo 147). La Constitución </w:t>
      </w:r>
      <w:r>
        <w:rPr>
          <w:rFonts w:ascii="Times New Roman" w:hAnsi="Times New Roman"/>
          <w:sz w:val="24"/>
          <w:szCs w:val="24"/>
          <w:lang w:val="es-AR"/>
        </w:rPr>
        <w:t>fijaba también los fines de la educación (“En todas las escuelas se procurará la formación moral, la educación cívica y el perfeccionamiento personal y profesional; todo ello conforme al espíritu nacional y de reconciliación entre los pueblos”), y aceptaba</w:t>
      </w:r>
      <w:r>
        <w:rPr>
          <w:rFonts w:ascii="Times New Roman" w:hAnsi="Times New Roman"/>
          <w:sz w:val="24"/>
          <w:szCs w:val="24"/>
          <w:lang w:val="es-AR"/>
        </w:rPr>
        <w:t xml:space="preserve"> la educación religiosa con excepción de las escuelas laicas, bajo regulación estatal (artículo 148). Finalmente, el capítulo incluía la obligación estatal de velar por el patrimonio artístico, cultural y natural (artículo 149).</w:t>
      </w:r>
    </w:p>
    <w:p w:rsidR="00000000" w:rsidRDefault="007B5A38">
      <w:pPr>
        <w:jc w:val="both"/>
        <w:rPr>
          <w:rFonts w:ascii="Times New Roman" w:hAnsi="Times New Roman"/>
          <w:sz w:val="24"/>
          <w:szCs w:val="24"/>
          <w:lang w:val="es-AR"/>
        </w:rPr>
      </w:pPr>
      <w:r>
        <w:rPr>
          <w:rFonts w:ascii="Times New Roman" w:hAnsi="Times New Roman"/>
          <w:sz w:val="24"/>
          <w:szCs w:val="24"/>
          <w:lang w:val="es-AR"/>
        </w:rPr>
        <w:t>Pero es probablemente el ca</w:t>
      </w:r>
      <w:r>
        <w:rPr>
          <w:rFonts w:ascii="Times New Roman" w:hAnsi="Times New Roman"/>
          <w:sz w:val="24"/>
          <w:szCs w:val="24"/>
          <w:lang w:val="es-AR"/>
        </w:rPr>
        <w:t xml:space="preserve">pítulo dedicado a la vida económica (Capítulo V de la Segunda Parte) el que se ha señalado con mayor énfasis como el aporte más novedoso de la Constitución de Weimar. Los quince artículos contenidos en este capítulo abundan en mandatos materiales y normas </w:t>
      </w:r>
      <w:r>
        <w:rPr>
          <w:rFonts w:ascii="Times New Roman" w:hAnsi="Times New Roman"/>
          <w:sz w:val="24"/>
          <w:szCs w:val="24"/>
          <w:lang w:val="es-AR"/>
        </w:rPr>
        <w:t xml:space="preserve">de fin, destinadas a conciliar la economía de mercado con finalidades sociales a partir de un papel rector del Estado. En este sentido se destacan las normas destinadas a calificar la libertad de empresa y el derecho de propiedad: “(l)a organización de la </w:t>
      </w:r>
      <w:r>
        <w:rPr>
          <w:rFonts w:ascii="Times New Roman" w:hAnsi="Times New Roman"/>
          <w:sz w:val="24"/>
          <w:szCs w:val="24"/>
          <w:lang w:val="es-AR"/>
        </w:rPr>
        <w:t>vida económica debe responder a principios de justicia, con la aspiración de asegurar a todos una existencia digna del hombre. Dentro de estos límites, se reconoce al individuo la libertad económica” (artículo 151), “La propiedad crea deberes. Su uso ha de</w:t>
      </w:r>
      <w:r>
        <w:rPr>
          <w:rFonts w:ascii="Times New Roman" w:hAnsi="Times New Roman"/>
          <w:sz w:val="24"/>
          <w:szCs w:val="24"/>
          <w:lang w:val="es-AR"/>
        </w:rPr>
        <w:t xml:space="preserve"> constituir al mismo tiempo un servicio para el bien común” (artículo 153).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artículo 155 reivindicaba para el Estado la función de regular el uso del suelo, con primacía de la función de provisión de vivienda digna a las familias, y en particular a las</w:t>
      </w:r>
      <w:r>
        <w:rPr>
          <w:rFonts w:ascii="Times New Roman" w:hAnsi="Times New Roman"/>
          <w:sz w:val="24"/>
          <w:szCs w:val="24"/>
          <w:lang w:val="es-AR"/>
        </w:rPr>
        <w:t xml:space="preserve"> numerosas, la facultad estatal de expropiación para asignar al suelo y a la tierra usos de interés común, la obligación de los propietarios de la tierra de cultivarla y explotarla, la posibilidad de apropiación del incremento del valor del suelo que no se</w:t>
      </w:r>
      <w:r>
        <w:rPr>
          <w:rFonts w:ascii="Times New Roman" w:hAnsi="Times New Roman"/>
          <w:sz w:val="24"/>
          <w:szCs w:val="24"/>
          <w:lang w:val="es-AR"/>
        </w:rPr>
        <w:t xml:space="preserve"> derivara del capital o del trabajo en beneficio de la comunidad, y la regulación estatal de los recursos minerales y fuentes de energía natural.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 El artículo 156 preveía la posibilidad de nacionalizar empresas privadas mediante expropiación, la de interve</w:t>
      </w:r>
      <w:r>
        <w:rPr>
          <w:rFonts w:ascii="Times New Roman" w:hAnsi="Times New Roman"/>
          <w:sz w:val="24"/>
          <w:szCs w:val="24"/>
          <w:lang w:val="es-AR"/>
        </w:rPr>
        <w:t>nir en su administración, la de fusionar o determinar la gestión autónoma de empresas de acuerdo a los requerimientos del interés general, involucrando en su caso a empleadores y trabajadores, y la de regular la distribución, la fabricación, la distribució</w:t>
      </w:r>
      <w:r>
        <w:rPr>
          <w:rFonts w:ascii="Times New Roman" w:hAnsi="Times New Roman"/>
          <w:sz w:val="24"/>
          <w:szCs w:val="24"/>
          <w:lang w:val="es-AR"/>
        </w:rPr>
        <w:t>n, la utilización, la fijación de precios, la importación y la exportación de bienes económicos de acuerdo a las necesidades de la economía pública.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Seis artículos estaban dedicados a las relaciones de trabajo. Se establecía la protección del trabajo por p</w:t>
      </w:r>
      <w:r>
        <w:rPr>
          <w:rFonts w:ascii="Times New Roman" w:hAnsi="Times New Roman"/>
          <w:sz w:val="24"/>
          <w:szCs w:val="24"/>
          <w:lang w:val="es-AR"/>
        </w:rPr>
        <w:t>arte del Estado, y el dictado de leyes uniformes en materia laboral (artículo 157), la libertad sindical (artículo 159), la garantía de ejercicio de derechos políticos y de desempeño de cargos públicos para los trabajadores en relación de dependencia (artí</w:t>
      </w:r>
      <w:r>
        <w:rPr>
          <w:rFonts w:ascii="Times New Roman" w:hAnsi="Times New Roman"/>
          <w:sz w:val="24"/>
          <w:szCs w:val="24"/>
          <w:lang w:val="es-AR"/>
        </w:rPr>
        <w:t>culo 160), la creación de un sistema de seguro social “para atender a la conservación de la salud y de la capacidad para el trabajo, a la protección de la maternidad y a la previsión de las consecuencias económicas de la vejez, la enfermedad y las vicisitu</w:t>
      </w:r>
      <w:r>
        <w:rPr>
          <w:rFonts w:ascii="Times New Roman" w:hAnsi="Times New Roman"/>
          <w:sz w:val="24"/>
          <w:szCs w:val="24"/>
          <w:lang w:val="es-AR"/>
        </w:rPr>
        <w:t>des de la vida” (artículo 161).</w:t>
      </w:r>
    </w:p>
    <w:p w:rsidR="00000000" w:rsidRDefault="007B5A38">
      <w:pPr>
        <w:jc w:val="both"/>
        <w:rPr>
          <w:rFonts w:ascii="Times New Roman" w:hAnsi="Times New Roman"/>
          <w:sz w:val="24"/>
          <w:szCs w:val="24"/>
          <w:lang w:val="es-AR"/>
        </w:rPr>
      </w:pPr>
      <w:r>
        <w:rPr>
          <w:rFonts w:ascii="Times New Roman" w:hAnsi="Times New Roman"/>
          <w:sz w:val="24"/>
          <w:szCs w:val="24"/>
          <w:lang w:val="es-AR"/>
        </w:rPr>
        <w:lastRenderedPageBreak/>
        <w:t>El Estado se comprometía además a luchar “por obtener una reglamentación internacional de las relaciones jurídicas de los trabajadores, con objeto de asegurar a toda la clase obrera de la humanidad, un mínimum general de der</w:t>
      </w:r>
      <w:r>
        <w:rPr>
          <w:rFonts w:ascii="Times New Roman" w:hAnsi="Times New Roman"/>
          <w:sz w:val="24"/>
          <w:szCs w:val="24"/>
          <w:lang w:val="es-AR"/>
        </w:rPr>
        <w:t xml:space="preserve">echos sociales” (artículo 162). El artículo 163 consagraba el trabajo como un deber moral, y establecía la necesidad de regular por la obligación de proporcionar a todo alemán la posibilidad de ganarse el sustento mediante un trabajo o, en caso contrario, </w:t>
      </w:r>
      <w:r>
        <w:rPr>
          <w:rFonts w:ascii="Times New Roman" w:hAnsi="Times New Roman"/>
          <w:sz w:val="24"/>
          <w:szCs w:val="24"/>
          <w:lang w:val="es-AR"/>
        </w:rPr>
        <w:t xml:space="preserve">de proveerle el sustento necesario.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Por último, el artículo 165 abordaba la cuestión de la autonomía colectiva y la participación de los obreros en las decisiones económicas de la empresa y de la sociedad. La disposición establecía la obligación de los tr</w:t>
      </w:r>
      <w:r>
        <w:rPr>
          <w:rFonts w:ascii="Times New Roman" w:hAnsi="Times New Roman"/>
          <w:sz w:val="24"/>
          <w:szCs w:val="24"/>
          <w:lang w:val="es-AR"/>
        </w:rPr>
        <w:t>abajadores y empleados de colaborar con los empleadores en la determinación de las condiciones de trabajo y del desarrollo económico. Disponía además creación y la participación de los trabajadores en los Consejos de Obreros de Empresa y en los Consejos Ec</w:t>
      </w:r>
      <w:r>
        <w:rPr>
          <w:rFonts w:ascii="Times New Roman" w:hAnsi="Times New Roman"/>
          <w:sz w:val="24"/>
          <w:szCs w:val="24"/>
          <w:lang w:val="es-AR"/>
        </w:rPr>
        <w:t>onómicos de distrito y del Reich. El Consejo Económico del Reich tenía la facultad de considerar los proyectos de ley en materia económica y social suficientemente relevantes , y de presentar proyectos de ley al parlamento. Las facultades de administración</w:t>
      </w:r>
      <w:r>
        <w:rPr>
          <w:rFonts w:ascii="Times New Roman" w:hAnsi="Times New Roman"/>
          <w:sz w:val="24"/>
          <w:szCs w:val="24"/>
          <w:lang w:val="es-AR"/>
        </w:rPr>
        <w:t xml:space="preserve"> y control podían ser transferidas a los consejos de trabajadores y a los consejos económicos territoriales.</w:t>
      </w:r>
    </w:p>
    <w:p w:rsidR="00000000" w:rsidRDefault="007B5A38">
      <w:pPr>
        <w:jc w:val="both"/>
        <w:rPr>
          <w:rFonts w:ascii="Times New Roman" w:hAnsi="Times New Roman"/>
          <w:b/>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2.2.4. La Constitución de la República Española (1931)</w:t>
      </w:r>
    </w:p>
    <w:p w:rsidR="00000000" w:rsidRDefault="007B5A38">
      <w:pPr>
        <w:jc w:val="both"/>
        <w:rPr>
          <w:rFonts w:ascii="Times New Roman" w:hAnsi="Times New Roman"/>
          <w:iCs/>
          <w:sz w:val="24"/>
          <w:szCs w:val="24"/>
          <w:lang w:val="es-ES"/>
        </w:rPr>
      </w:pPr>
      <w:r>
        <w:rPr>
          <w:rFonts w:ascii="Times New Roman" w:hAnsi="Times New Roman"/>
          <w:sz w:val="24"/>
          <w:szCs w:val="24"/>
          <w:lang w:val="es-MX"/>
        </w:rPr>
        <w:t xml:space="preserve">La Constitución de la República Española, adoptada el </w:t>
      </w:r>
      <w:r>
        <w:rPr>
          <w:rFonts w:ascii="Times New Roman" w:hAnsi="Times New Roman"/>
          <w:iCs/>
          <w:sz w:val="24"/>
          <w:szCs w:val="24"/>
          <w:lang w:val="es-MX"/>
        </w:rPr>
        <w:t>9 de Diciembre de 1931,</w:t>
      </w:r>
      <w:r>
        <w:rPr>
          <w:rFonts w:ascii="Times New Roman" w:hAnsi="Times New Roman"/>
          <w:i/>
          <w:iCs/>
          <w:sz w:val="24"/>
          <w:szCs w:val="24"/>
          <w:lang w:val="es-MX"/>
        </w:rPr>
        <w:t xml:space="preserve"> </w:t>
      </w:r>
      <w:r>
        <w:rPr>
          <w:rFonts w:ascii="Times New Roman" w:hAnsi="Times New Roman"/>
          <w:iCs/>
          <w:sz w:val="24"/>
          <w:szCs w:val="24"/>
          <w:lang w:val="es-MX"/>
        </w:rPr>
        <w:t>sigue de cerc</w:t>
      </w:r>
      <w:r>
        <w:rPr>
          <w:rFonts w:ascii="Times New Roman" w:hAnsi="Times New Roman"/>
          <w:iCs/>
          <w:sz w:val="24"/>
          <w:szCs w:val="24"/>
          <w:lang w:val="es-MX"/>
        </w:rPr>
        <w:t>a el modelo de la Constitución de Weimar en materia de constitucionalización de los derechos sociales</w:t>
      </w:r>
      <w:r>
        <w:rPr>
          <w:rStyle w:val="Refdenotaalpie"/>
          <w:rFonts w:ascii="Times New Roman" w:hAnsi="Times New Roman"/>
          <w:iCs/>
          <w:sz w:val="24"/>
          <w:szCs w:val="24"/>
          <w:lang w:val="es-MX"/>
        </w:rPr>
        <w:footnoteReference w:id="14"/>
      </w:r>
      <w:r>
        <w:rPr>
          <w:rFonts w:ascii="Times New Roman" w:hAnsi="Times New Roman"/>
          <w:iCs/>
          <w:sz w:val="24"/>
          <w:szCs w:val="24"/>
          <w:lang w:val="es-MX"/>
        </w:rPr>
        <w:t xml:space="preserve">. Amén de definir a España como “una República democrática de trabajadores de toda clase, que se organiza en régimen de Libertad y de Justicia” (artículo </w:t>
      </w:r>
      <w:r>
        <w:rPr>
          <w:rFonts w:ascii="Times New Roman" w:hAnsi="Times New Roman"/>
          <w:iCs/>
          <w:sz w:val="24"/>
          <w:szCs w:val="24"/>
          <w:lang w:val="es-MX"/>
        </w:rPr>
        <w:t xml:space="preserve">1), el modelo elegido agrupa bajo el título de “Derechos y deberes de los españoles”  el reconocimiento de unos pocos derechos sociales propiamente dichos, decantándose fundamentalmente por mandatos sustantivos, facultades de intervención en la economía y </w:t>
      </w:r>
      <w:r>
        <w:rPr>
          <w:rFonts w:ascii="Times New Roman" w:hAnsi="Times New Roman"/>
          <w:iCs/>
          <w:sz w:val="24"/>
          <w:szCs w:val="24"/>
          <w:lang w:val="es-MX"/>
        </w:rPr>
        <w:t>garantías institucionales. El título de “Derechos y deberes de los españoles” se divide en dos capítulos: “</w:t>
      </w:r>
      <w:r>
        <w:rPr>
          <w:rFonts w:ascii="Times New Roman" w:hAnsi="Times New Roman"/>
          <w:iCs/>
          <w:sz w:val="24"/>
          <w:szCs w:val="24"/>
          <w:lang w:val="es-ES"/>
        </w:rPr>
        <w:t>Garantías individuales y políticas” y “Familia, economía y cultura”. Bajo el título de “Garantías individuales y políticas” se incluyen la libertad s</w:t>
      </w:r>
      <w:r>
        <w:rPr>
          <w:rFonts w:ascii="Times New Roman" w:hAnsi="Times New Roman"/>
          <w:iCs/>
          <w:sz w:val="24"/>
          <w:szCs w:val="24"/>
          <w:lang w:val="es-ES"/>
        </w:rPr>
        <w:t>indical (artículo 39) y las garantías destinadas a proteger la imparcialidad y profesionalidad de los funcionarios públicos, entre las que se cuentan su inamovilidad y el reconocimiento del derecho de constituir asociaciones profesionales (artículo 41). La</w:t>
      </w:r>
      <w:r>
        <w:rPr>
          <w:rFonts w:ascii="Times New Roman" w:hAnsi="Times New Roman"/>
          <w:iCs/>
          <w:sz w:val="24"/>
          <w:szCs w:val="24"/>
          <w:lang w:val="es-ES"/>
        </w:rPr>
        <w:t xml:space="preserve"> misma disposición reconoce la responsabilidad del Estado derivada de actos de funcionarios públicos en ejercicio de su cargo.</w:t>
      </w:r>
    </w:p>
    <w:p w:rsidR="00000000" w:rsidRDefault="007B5A38">
      <w:pPr>
        <w:jc w:val="both"/>
        <w:rPr>
          <w:rFonts w:ascii="Times New Roman" w:hAnsi="Times New Roman"/>
          <w:iCs/>
          <w:sz w:val="24"/>
          <w:szCs w:val="24"/>
          <w:lang w:val="es-MX"/>
        </w:rPr>
      </w:pPr>
      <w:r>
        <w:rPr>
          <w:rFonts w:ascii="Times New Roman" w:hAnsi="Times New Roman"/>
          <w:iCs/>
          <w:sz w:val="24"/>
          <w:szCs w:val="24"/>
          <w:lang w:val="es-ES"/>
        </w:rPr>
        <w:t>Pero la gran mayoría de las novedades en materia de derechos sociales se sitúa en el Capítulo dedicado a “Familia, economía y cul</w:t>
      </w:r>
      <w:r>
        <w:rPr>
          <w:rFonts w:ascii="Times New Roman" w:hAnsi="Times New Roman"/>
          <w:iCs/>
          <w:sz w:val="24"/>
          <w:szCs w:val="24"/>
          <w:lang w:val="es-ES"/>
        </w:rPr>
        <w:t xml:space="preserve">tura” – que agrupa bajo un único acápite normas similares a las que la Constitución de Weimar distribuía en secciones diferenciadas. El artículo 43 estaba dedicado a la protección de la familia, a la que declara “bajo la salvaguardia especial del Estado”. </w:t>
      </w:r>
      <w:r>
        <w:rPr>
          <w:rFonts w:ascii="Times New Roman" w:hAnsi="Times New Roman"/>
          <w:iCs/>
          <w:sz w:val="24"/>
          <w:szCs w:val="24"/>
          <w:lang w:val="es-ES"/>
        </w:rPr>
        <w:t xml:space="preserve"> Junto con normas que establecen la igualdad de sexos como la base del matrimonio </w:t>
      </w:r>
      <w:r>
        <w:rPr>
          <w:rFonts w:ascii="Times New Roman" w:hAnsi="Times New Roman"/>
          <w:iCs/>
          <w:sz w:val="24"/>
          <w:szCs w:val="24"/>
          <w:lang w:val="es-ES"/>
        </w:rPr>
        <w:lastRenderedPageBreak/>
        <w:t>y la igualdad entre hijos matrimoniales y extramatrimoniales, se coloca en cabeza de los padres la obligación de “alimentar, asistir, educar e instruir”, en tanto que el Esta</w:t>
      </w:r>
      <w:r>
        <w:rPr>
          <w:rFonts w:ascii="Times New Roman" w:hAnsi="Times New Roman"/>
          <w:iCs/>
          <w:sz w:val="24"/>
          <w:szCs w:val="24"/>
          <w:lang w:val="es-ES"/>
        </w:rPr>
        <w:t>do se obliga a velar por el cumplimiento de esos deberes y subsidiariamente tomarlos a cargo. El Estado se compromete además a prestar “asistencia a los enfermos y ancianos” y  “protección a la maternidad y a la infancia”. Cabe mencionar la pionera referen</w:t>
      </w:r>
      <w:r>
        <w:rPr>
          <w:rFonts w:ascii="Times New Roman" w:hAnsi="Times New Roman"/>
          <w:iCs/>
          <w:sz w:val="24"/>
          <w:szCs w:val="24"/>
          <w:lang w:val="es-ES"/>
        </w:rPr>
        <w:t>cia a una norma internacional de derechos humanos en materia de derechos del niño: la cláusula termina “haciendo suya la "Declaración de Ginebra" o tabla de los derechos del niño”.</w:t>
      </w:r>
    </w:p>
    <w:p w:rsidR="00000000" w:rsidRDefault="007B5A38">
      <w:pPr>
        <w:jc w:val="both"/>
        <w:rPr>
          <w:rFonts w:ascii="Times New Roman" w:hAnsi="Times New Roman"/>
          <w:iCs/>
          <w:sz w:val="24"/>
          <w:szCs w:val="24"/>
          <w:lang w:val="es-MX"/>
        </w:rPr>
      </w:pPr>
      <w:r>
        <w:rPr>
          <w:rFonts w:ascii="Times New Roman" w:hAnsi="Times New Roman"/>
          <w:iCs/>
          <w:sz w:val="24"/>
          <w:szCs w:val="24"/>
          <w:lang w:val="es-MX"/>
        </w:rPr>
        <w:t xml:space="preserve">El artículo 44, cuyo lenguaje está claramente evidentemente en el artículo </w:t>
      </w:r>
      <w:r>
        <w:rPr>
          <w:rFonts w:ascii="Times New Roman" w:hAnsi="Times New Roman"/>
          <w:iCs/>
          <w:sz w:val="24"/>
          <w:szCs w:val="24"/>
          <w:lang w:val="es-MX"/>
        </w:rPr>
        <w:t>156 de la Constitución de Weimar, hace explícita la desfundamentalización del derecho de propiedad, declarando que la riqueza del país está subordinada a los intereses de la economía nacional. La disposición crea las bases jurídicas para la expropiación de</w:t>
      </w:r>
      <w:r>
        <w:rPr>
          <w:rFonts w:ascii="Times New Roman" w:hAnsi="Times New Roman"/>
          <w:iCs/>
          <w:sz w:val="24"/>
          <w:szCs w:val="24"/>
          <w:lang w:val="es-MX"/>
        </w:rPr>
        <w:t xml:space="preserve"> bienes, para la socialización de la propiedad y de servicios públicos que afecten el bien común, y para la intervención estatal en la explotación y coordinación de industrias empresas.</w:t>
      </w:r>
    </w:p>
    <w:p w:rsidR="00000000" w:rsidRDefault="007B5A38">
      <w:pPr>
        <w:jc w:val="both"/>
        <w:rPr>
          <w:rFonts w:ascii="Times New Roman" w:hAnsi="Times New Roman"/>
          <w:iCs/>
          <w:sz w:val="24"/>
          <w:szCs w:val="24"/>
          <w:lang w:val="es-ES"/>
        </w:rPr>
      </w:pPr>
      <w:r>
        <w:rPr>
          <w:rFonts w:ascii="Times New Roman" w:hAnsi="Times New Roman"/>
          <w:iCs/>
          <w:sz w:val="24"/>
          <w:szCs w:val="24"/>
          <w:lang w:val="es-ES"/>
        </w:rPr>
        <w:t>El artículo 46 condensaba, en una sola disposición, la regulación cons</w:t>
      </w:r>
      <w:r>
        <w:rPr>
          <w:rFonts w:ascii="Times New Roman" w:hAnsi="Times New Roman"/>
          <w:iCs/>
          <w:sz w:val="24"/>
          <w:szCs w:val="24"/>
          <w:lang w:val="es-ES"/>
        </w:rPr>
        <w:t xml:space="preserve">titucional de las relaciones de trabajo. La norma definía al trabajo como una “obligación social”, y declaraba que gozaría de la protección de las leyes. A continuación establecía que la República “asegurará a todo trabajador las condiciones necesarias de </w:t>
      </w:r>
      <w:r>
        <w:rPr>
          <w:rFonts w:ascii="Times New Roman" w:hAnsi="Times New Roman"/>
          <w:iCs/>
          <w:sz w:val="24"/>
          <w:szCs w:val="24"/>
          <w:lang w:val="es-ES"/>
        </w:rPr>
        <w:t>una existencia digna”, y determinaba las áreas a ser reguladas por la legislación social: “los casos de seguro de enfermedad, accidentes, paro forzoso, vejez, invalidez y muerte; el trabajo de las mujeres y de los jóvenes y especialmente la protección a la</w:t>
      </w:r>
      <w:r>
        <w:rPr>
          <w:rFonts w:ascii="Times New Roman" w:hAnsi="Times New Roman"/>
          <w:iCs/>
          <w:sz w:val="24"/>
          <w:szCs w:val="24"/>
          <w:lang w:val="es-ES"/>
        </w:rPr>
        <w:t xml:space="preserve"> maternidad; la jornada de trabajo y el salario mínimo y familiar; las vacaciones anuales remuneradas: las condiciones del obrero español en el extranjero; las instituciones de cooperación, la relación económico-jurídica de los factores que integran la pro</w:t>
      </w:r>
      <w:r>
        <w:rPr>
          <w:rFonts w:ascii="Times New Roman" w:hAnsi="Times New Roman"/>
          <w:iCs/>
          <w:sz w:val="24"/>
          <w:szCs w:val="24"/>
          <w:lang w:val="es-ES"/>
        </w:rPr>
        <w:t>ducción; la participación de los obreros en la dirección, la administración y los beneficios de las empresas, y todo cuanto afecte a la defensa de los trabajadores.” La disposición es un buen ejemplo del perfil de cláusula constitucional referida a derecho</w:t>
      </w:r>
      <w:r>
        <w:rPr>
          <w:rFonts w:ascii="Times New Roman" w:hAnsi="Times New Roman"/>
          <w:iCs/>
          <w:sz w:val="24"/>
          <w:szCs w:val="24"/>
          <w:lang w:val="es-ES"/>
        </w:rPr>
        <w:t xml:space="preserve">s sociales que se generalizaría en las Constituciones de este período: se indican las áreas a ser reguladas, dejando un margen de discreción amplio al desarrollo legislativo. </w:t>
      </w:r>
    </w:p>
    <w:p w:rsidR="00000000" w:rsidRDefault="007B5A38">
      <w:pPr>
        <w:jc w:val="both"/>
        <w:rPr>
          <w:rFonts w:ascii="Times New Roman" w:hAnsi="Times New Roman"/>
          <w:iCs/>
          <w:sz w:val="24"/>
          <w:szCs w:val="24"/>
          <w:lang w:val="es-ES"/>
        </w:rPr>
      </w:pPr>
      <w:r>
        <w:rPr>
          <w:rFonts w:ascii="Times New Roman" w:hAnsi="Times New Roman"/>
          <w:iCs/>
          <w:sz w:val="24"/>
          <w:szCs w:val="24"/>
          <w:lang w:val="es-ES"/>
        </w:rPr>
        <w:t xml:space="preserve">Con una aproximación similar al artículo 46, otra cláusula específica (artículo </w:t>
      </w:r>
      <w:r>
        <w:rPr>
          <w:rFonts w:ascii="Times New Roman" w:hAnsi="Times New Roman"/>
          <w:iCs/>
          <w:sz w:val="24"/>
          <w:szCs w:val="24"/>
          <w:lang w:val="es-ES"/>
        </w:rPr>
        <w:t>47) se dedicaba a la protección del campesino. Para tal protección, se detallaban las siguientes materias como objeto de legislación 2el patrimonio familiar inembargable y exento de toda clase de impuestos, crédito agrícola, indemnización por pérdida de la</w:t>
      </w:r>
      <w:r>
        <w:rPr>
          <w:rFonts w:ascii="Times New Roman" w:hAnsi="Times New Roman"/>
          <w:iCs/>
          <w:sz w:val="24"/>
          <w:szCs w:val="24"/>
          <w:lang w:val="es-ES"/>
        </w:rPr>
        <w:t>s cosechas, cooperativas de producción y consumo, cajas de previsión, escuelas prácticas de agricultura y granjas de experimentación agropecuarias, obras para riego y vías rurales de comunicación”.</w:t>
      </w:r>
    </w:p>
    <w:p w:rsidR="00000000" w:rsidRDefault="007B5A38">
      <w:pPr>
        <w:jc w:val="both"/>
        <w:rPr>
          <w:rFonts w:ascii="Times New Roman" w:hAnsi="Times New Roman"/>
          <w:iCs/>
          <w:sz w:val="24"/>
          <w:szCs w:val="24"/>
          <w:lang w:val="es-ES"/>
        </w:rPr>
      </w:pPr>
    </w:p>
    <w:p w:rsidR="00000000" w:rsidRDefault="007B5A38">
      <w:pPr>
        <w:jc w:val="both"/>
        <w:rPr>
          <w:rFonts w:ascii="Times New Roman" w:hAnsi="Times New Roman"/>
          <w:iCs/>
          <w:sz w:val="24"/>
          <w:szCs w:val="24"/>
          <w:lang w:val="es-MX"/>
        </w:rPr>
      </w:pPr>
      <w:r>
        <w:rPr>
          <w:rFonts w:ascii="Times New Roman" w:hAnsi="Times New Roman"/>
          <w:iCs/>
          <w:sz w:val="24"/>
          <w:szCs w:val="24"/>
          <w:lang w:val="es-MX"/>
        </w:rPr>
        <w:t xml:space="preserve">El resto de las normas del capítulo estaba dedicado a la </w:t>
      </w:r>
      <w:r>
        <w:rPr>
          <w:rFonts w:ascii="Times New Roman" w:hAnsi="Times New Roman"/>
          <w:iCs/>
          <w:sz w:val="24"/>
          <w:szCs w:val="24"/>
          <w:lang w:val="es-MX"/>
        </w:rPr>
        <w:t>cuestión de la protección del patrimonio artístico, histórico y natural (artículo 45) y a la educación (artículos 48 a 50). Sobre patrimonio artístico, histórico y cultural, se lo declara bajo salvaguardia del Estado, se autoriza a regular su enajenación y</w:t>
      </w:r>
      <w:r>
        <w:rPr>
          <w:rFonts w:ascii="Times New Roman" w:hAnsi="Times New Roman"/>
          <w:iCs/>
          <w:sz w:val="24"/>
          <w:szCs w:val="24"/>
          <w:lang w:val="es-MX"/>
        </w:rPr>
        <w:t xml:space="preserve"> a expropiar, y se dispone la organización de un registro.</w:t>
      </w:r>
    </w:p>
    <w:p w:rsidR="00000000" w:rsidRDefault="007B5A38">
      <w:pPr>
        <w:jc w:val="both"/>
        <w:rPr>
          <w:rFonts w:ascii="Times New Roman" w:hAnsi="Times New Roman"/>
          <w:iCs/>
          <w:sz w:val="24"/>
          <w:szCs w:val="24"/>
          <w:lang w:val="es-ES"/>
        </w:rPr>
      </w:pPr>
      <w:r>
        <w:rPr>
          <w:rFonts w:ascii="Times New Roman" w:hAnsi="Times New Roman"/>
          <w:iCs/>
          <w:sz w:val="24"/>
          <w:szCs w:val="24"/>
          <w:lang w:val="es-ES"/>
        </w:rPr>
        <w:t xml:space="preserve">En materia de educación, las artículos 48 y 49 establecen garantías institucionales (el establecimiento de instituciones educativas enlazadas por el sistema de la escuela unificada, el </w:t>
      </w:r>
      <w:r>
        <w:rPr>
          <w:rFonts w:ascii="Times New Roman" w:hAnsi="Times New Roman"/>
          <w:iCs/>
          <w:sz w:val="24"/>
          <w:szCs w:val="24"/>
          <w:lang w:val="es-ES"/>
        </w:rPr>
        <w:lastRenderedPageBreak/>
        <w:t xml:space="preserve">carácter de </w:t>
      </w:r>
      <w:r>
        <w:rPr>
          <w:rFonts w:ascii="Times New Roman" w:hAnsi="Times New Roman"/>
          <w:iCs/>
          <w:sz w:val="24"/>
          <w:szCs w:val="24"/>
          <w:lang w:val="es-ES"/>
        </w:rPr>
        <w:t>funcionarios públicos de los docentes y el monopolio estatal de la expedición de títulos académicos y profesionales), disponen el carácter gratuito y obligatorio de la enseñanza primaria , instauran la libertad de cátedra y el mandato de legislar para “fac</w:t>
      </w:r>
      <w:r>
        <w:rPr>
          <w:rFonts w:ascii="Times New Roman" w:hAnsi="Times New Roman"/>
          <w:iCs/>
          <w:sz w:val="24"/>
          <w:szCs w:val="24"/>
          <w:lang w:val="es-ES"/>
        </w:rPr>
        <w:t>ilitar a los españoles económicamente necesitados el acceso a todos los grados de enseñanza, a fin de que no se halle condicionado más que por la aptitud y la vocación” – cláusula también inspirada estrechamente en el lenguaje de la Constitución de Weimar.</w:t>
      </w:r>
      <w:r>
        <w:rPr>
          <w:rFonts w:ascii="Times New Roman" w:hAnsi="Times New Roman"/>
          <w:iCs/>
          <w:sz w:val="24"/>
          <w:szCs w:val="24"/>
          <w:lang w:val="es-ES"/>
        </w:rPr>
        <w:t xml:space="preserve"> Se define a la enseñanza como laica y, en cuanto a sus fines, se dice que “hará del trabajo el eje de su actividad metodológica y se inspirará en ideales de solidaridad humana”. El Estado reivindica la facultad de regular “la edad escolar para cada grado,</w:t>
      </w:r>
      <w:r>
        <w:rPr>
          <w:rFonts w:ascii="Times New Roman" w:hAnsi="Times New Roman"/>
          <w:iCs/>
          <w:sz w:val="24"/>
          <w:szCs w:val="24"/>
          <w:lang w:val="es-ES"/>
        </w:rPr>
        <w:t xml:space="preserve"> la duración de los periodos de escolaridad, el contenido de los planes pedagógicos y las condiciones en que se podrá autorizar la enseñanza en los establecimientos privados”, aclarándose también que las iglesias tienen derecho a enseñar sus respectivas do</w:t>
      </w:r>
      <w:r>
        <w:rPr>
          <w:rFonts w:ascii="Times New Roman" w:hAnsi="Times New Roman"/>
          <w:iCs/>
          <w:sz w:val="24"/>
          <w:szCs w:val="24"/>
          <w:lang w:val="es-ES"/>
        </w:rPr>
        <w:t>ctrinas en sus propios establecimientos. Asimismo, el Estado conserva la facultad de inspección del cumplimiento de la regulación en materia educativa.</w:t>
      </w:r>
    </w:p>
    <w:p w:rsidR="00000000" w:rsidRDefault="007B5A38">
      <w:pPr>
        <w:jc w:val="both"/>
        <w:rPr>
          <w:rFonts w:ascii="Times New Roman" w:hAnsi="Times New Roman"/>
          <w:iCs/>
          <w:sz w:val="24"/>
          <w:szCs w:val="24"/>
          <w:lang w:val="es-MX"/>
        </w:rPr>
      </w:pPr>
      <w:r>
        <w:rPr>
          <w:rFonts w:ascii="Times New Roman" w:hAnsi="Times New Roman"/>
          <w:iCs/>
          <w:sz w:val="24"/>
          <w:szCs w:val="24"/>
          <w:lang w:val="es-MX"/>
        </w:rPr>
        <w:t xml:space="preserve">Una última disposición, el artículo 50, abordaba la facultad de las </w:t>
      </w:r>
      <w:r>
        <w:rPr>
          <w:rFonts w:ascii="Times New Roman" w:hAnsi="Times New Roman"/>
          <w:iCs/>
          <w:sz w:val="24"/>
          <w:szCs w:val="24"/>
          <w:lang w:val="es-ES"/>
        </w:rPr>
        <w:t>regiones autónomas de la enseñanza e</w:t>
      </w:r>
      <w:r>
        <w:rPr>
          <w:rFonts w:ascii="Times New Roman" w:hAnsi="Times New Roman"/>
          <w:iCs/>
          <w:sz w:val="24"/>
          <w:szCs w:val="24"/>
          <w:lang w:val="es-ES"/>
        </w:rPr>
        <w:t xml:space="preserve">n sus lenguas respectivas, determinando de todos modos la obligatoriedad del estudio de la lengua castellana, y su carácter de instrumento de enseñanza en todos los centros de instrucción primaria y secundaria de las regiones autónomas. </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2.2.5 La Constitu</w:t>
      </w:r>
      <w:r>
        <w:rPr>
          <w:rFonts w:ascii="Times New Roman" w:hAnsi="Times New Roman"/>
          <w:i/>
          <w:sz w:val="24"/>
          <w:szCs w:val="24"/>
          <w:lang w:val="es-AR"/>
        </w:rPr>
        <w:t>ción irlandesa de 1937</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La Constitución irlandesa de 1937 recoge de manera notoria la influencia de la tradición republicana favorable a la autodeterminación nacional y de la doctrina social de la iglesia católica. En materia social, el legado principal de </w:t>
      </w:r>
      <w:r>
        <w:rPr>
          <w:rFonts w:ascii="Times New Roman" w:hAnsi="Times New Roman"/>
          <w:sz w:val="24"/>
          <w:szCs w:val="24"/>
          <w:lang w:val="es-AR"/>
        </w:rPr>
        <w:t xml:space="preserve">la Constitución irlandesa de 1937 es la introducción de una distinción normativa entre “derechos fundamentales” y “principios rectores de la política social”. En el capítulo de “Derechos fundamentales” (artículos 40 al 44) se incluyen básicamente derechos </w:t>
      </w:r>
      <w:r>
        <w:rPr>
          <w:rFonts w:ascii="Times New Roman" w:hAnsi="Times New Roman"/>
          <w:sz w:val="24"/>
          <w:szCs w:val="24"/>
          <w:lang w:val="es-AR"/>
        </w:rPr>
        <w:t>civiles y políticos, aunque también se establecen obligaciones estatales en materia de protección de la familia y del niño – en caso de incumplimiento de deberes de los padres –, así como la obligación estatal de proveer enseñanza primaria gratuita (artícu</w:t>
      </w:r>
      <w:r>
        <w:rPr>
          <w:rFonts w:ascii="Times New Roman" w:hAnsi="Times New Roman"/>
          <w:sz w:val="24"/>
          <w:szCs w:val="24"/>
          <w:lang w:val="es-AR"/>
        </w:rPr>
        <w:t>lo 42.4), y la subordinación del derecho de propiedad a las exigencias de la justicia social y del bien común (artículo 43.2).</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artículo 45 está dedicado a los “principios rectores de la política social”. De acuerdo con el encabezamiento de esa disposici</w:t>
      </w:r>
      <w:r>
        <w:rPr>
          <w:rFonts w:ascii="Times New Roman" w:hAnsi="Times New Roman"/>
          <w:sz w:val="24"/>
          <w:szCs w:val="24"/>
          <w:lang w:val="es-AR"/>
        </w:rPr>
        <w:t>ón “(l)os principios de política social establecidos en este artículo están dirigidos a ofrecer orientación general al órgano legislativo. La aplicación de esos principios en el proceso de adopción de legislación corresponde únicamente al órgano legislativ</w:t>
      </w:r>
      <w:r>
        <w:rPr>
          <w:rFonts w:ascii="Times New Roman" w:hAnsi="Times New Roman"/>
          <w:sz w:val="24"/>
          <w:szCs w:val="24"/>
          <w:lang w:val="es-AR"/>
        </w:rPr>
        <w:t xml:space="preserve">o, y no podrá ser sometida al conocimiento de ningún tribunal”.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Los “principios rectores” aparecen redactados como directrices o normas programáticas. La formulación más general encomienda al Estado “esforzarse para promover el bienestar de la totalidad d</w:t>
      </w:r>
      <w:r>
        <w:rPr>
          <w:rFonts w:ascii="Times New Roman" w:hAnsi="Times New Roman"/>
          <w:sz w:val="24"/>
          <w:szCs w:val="24"/>
          <w:lang w:val="es-AR"/>
        </w:rPr>
        <w:t>e la población, asegurando y protegiendo del modo más efectivo posible un orden social en el que la justicia y la caridad informen todas las instituciones de la vida nacional”. Pero se detallan también objetivos más específicos de política social: lograr “</w:t>
      </w:r>
      <w:r>
        <w:rPr>
          <w:rFonts w:ascii="Times New Roman" w:hAnsi="Times New Roman"/>
          <w:sz w:val="24"/>
          <w:szCs w:val="24"/>
          <w:lang w:val="es-AR"/>
        </w:rPr>
        <w:t xml:space="preserve">que todos los ciudadanos puedan, a través de sus ocupaciones, disponer de los medios necesarios para </w:t>
      </w:r>
      <w:r>
        <w:rPr>
          <w:rFonts w:ascii="Times New Roman" w:hAnsi="Times New Roman"/>
          <w:sz w:val="24"/>
          <w:szCs w:val="24"/>
          <w:lang w:val="es-AR"/>
        </w:rPr>
        <w:lastRenderedPageBreak/>
        <w:t xml:space="preserve">satisfacer sus necesidades domésticas”, “que la propiedad y el control de los recursos materiales de la comunidad sean distribuidos entre los individuos y </w:t>
      </w:r>
      <w:r>
        <w:rPr>
          <w:rFonts w:ascii="Times New Roman" w:hAnsi="Times New Roman"/>
          <w:sz w:val="24"/>
          <w:szCs w:val="24"/>
          <w:lang w:val="es-AR"/>
        </w:rPr>
        <w:t xml:space="preserve">las distintas clases del mejor en que sirvan mejor al bien común”, “que la operación de la libre competencia no tenga como resultado la concentración de la propiedad o el control de bienes fundamentales en pocos individuos, en detrimento de la comunidad”, </w:t>
      </w:r>
      <w:r>
        <w:rPr>
          <w:rFonts w:ascii="Times New Roman" w:hAnsi="Times New Roman"/>
          <w:sz w:val="24"/>
          <w:szCs w:val="24"/>
          <w:lang w:val="es-AR"/>
        </w:rPr>
        <w:t>“que el control de crédito tenga como objetivo constante y predominante el bienestar del pueblo en su conjunto” y “que puedan establecerse en la tierra, con seguridad económica, tantas familias como sea posible en las circunstancias actuales”. Otros objeti</w:t>
      </w:r>
      <w:r>
        <w:rPr>
          <w:rFonts w:ascii="Times New Roman" w:hAnsi="Times New Roman"/>
          <w:sz w:val="24"/>
          <w:szCs w:val="24"/>
          <w:lang w:val="es-AR"/>
        </w:rPr>
        <w:t>vos de política social incluyen la promoción de la iniciativa privado y, en caso necesario, la participación del Estado en la industria y el comercio y el deber del Estado de velar porque el funcionamiento de la empresa privada asegure una razonable eficie</w:t>
      </w:r>
      <w:r>
        <w:rPr>
          <w:rFonts w:ascii="Times New Roman" w:hAnsi="Times New Roman"/>
          <w:sz w:val="24"/>
          <w:szCs w:val="24"/>
          <w:lang w:val="es-AR"/>
        </w:rPr>
        <w:t>ncia en la producción y distribución de bienes y por la protección de la población contra la explotación injusta. Finalmente, el Estado se compromete a salvaguardar con especial cuidado los intereses económicos de los sectores más vulnerables de la comunid</w:t>
      </w:r>
      <w:r>
        <w:rPr>
          <w:rFonts w:ascii="Times New Roman" w:hAnsi="Times New Roman"/>
          <w:sz w:val="24"/>
          <w:szCs w:val="24"/>
          <w:lang w:val="es-AR"/>
        </w:rPr>
        <w:t>ad, y, de ser necesario, a contribuir en la asistencia a los enfermos, viudos, huérfanos y personas de edad. El Estado se compromete además a asegurar la salud de los trabajadores de ambos sexos, a proteger a la niñez, y a velar porque los ciudadanos no se</w:t>
      </w:r>
      <w:r>
        <w:rPr>
          <w:rFonts w:ascii="Times New Roman" w:hAnsi="Times New Roman"/>
          <w:sz w:val="24"/>
          <w:szCs w:val="24"/>
          <w:lang w:val="es-AR"/>
        </w:rPr>
        <w:t xml:space="preserve"> vean forzados por necesidad económica a realizar tareas “que sean impropias para su sexo, edad o condición física.”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distinción entre “derechos fundamentales” y “principios rectores dela política social” ha tenido importante influencia en el constitucio</w:t>
      </w:r>
      <w:r>
        <w:rPr>
          <w:rFonts w:ascii="Times New Roman" w:hAnsi="Times New Roman"/>
          <w:sz w:val="24"/>
          <w:szCs w:val="24"/>
          <w:lang w:val="es-AR"/>
        </w:rPr>
        <w:t>nalismo del Siglo XX. La distinción fue recogida por la Constitución post-colonial de la India en 1949, y se repite en muchas constituciones asiáticas y africanas.</w:t>
      </w:r>
      <w:r>
        <w:rPr>
          <w:rStyle w:val="Refdenotaalpie"/>
          <w:rFonts w:ascii="Times New Roman" w:hAnsi="Times New Roman"/>
          <w:sz w:val="24"/>
          <w:szCs w:val="24"/>
          <w:lang w:val="es-AR"/>
        </w:rPr>
        <w:footnoteReference w:id="15"/>
      </w:r>
      <w:r>
        <w:rPr>
          <w:rFonts w:ascii="Times New Roman" w:hAnsi="Times New Roman"/>
          <w:sz w:val="24"/>
          <w:szCs w:val="24"/>
          <w:lang w:val="es-AR"/>
        </w:rPr>
        <w:t xml:space="preserve"> En Asia, siguieron ese modelo las constituciones de Indonesia (1951), Nepal (1962), Banglad</w:t>
      </w:r>
      <w:r>
        <w:rPr>
          <w:rFonts w:ascii="Times New Roman" w:hAnsi="Times New Roman"/>
          <w:sz w:val="24"/>
          <w:szCs w:val="24"/>
          <w:lang w:val="es-AR"/>
        </w:rPr>
        <w:t xml:space="preserve">esh (1972) y Sri Lanka (1972). En Africa, esa tendencia fue inaugurada por las constituciones de Tanzania (1977) y Nigeria (1979), y ha sido seguida por numerosas constituciones de países africanos que forman parte de la tradición del </w:t>
      </w:r>
      <w:r>
        <w:rPr>
          <w:rFonts w:ascii="Times New Roman" w:hAnsi="Times New Roman"/>
          <w:i/>
          <w:sz w:val="24"/>
          <w:szCs w:val="24"/>
          <w:lang w:val="es-AR"/>
        </w:rPr>
        <w:t>common law</w:t>
      </w:r>
      <w:r>
        <w:rPr>
          <w:rFonts w:ascii="Times New Roman" w:hAnsi="Times New Roman"/>
          <w:sz w:val="24"/>
          <w:szCs w:val="24"/>
          <w:lang w:val="es-AR"/>
        </w:rPr>
        <w:t xml:space="preserve">. Así, por </w:t>
      </w:r>
      <w:r>
        <w:rPr>
          <w:rFonts w:ascii="Times New Roman" w:hAnsi="Times New Roman"/>
          <w:sz w:val="24"/>
          <w:szCs w:val="24"/>
          <w:lang w:val="es-AR"/>
        </w:rPr>
        <w:t>ejemplo, las Constituciones de Liberia (1984), Namibia (1990), Sierra Leona (1991), Ghana (1992), Lesotho (1993), Malawi (1994), Uganda (1995), Gambia (1996), Zambia (1996), Eritrea (1997), la constitución de Nigeria de 1999, que reemplaza a la de 1979 y l</w:t>
      </w:r>
      <w:r>
        <w:rPr>
          <w:rFonts w:ascii="Times New Roman" w:hAnsi="Times New Roman"/>
          <w:sz w:val="24"/>
          <w:szCs w:val="24"/>
          <w:lang w:val="es-AR"/>
        </w:rPr>
        <w:t>a de Swazilandia (2005).</w:t>
      </w:r>
      <w:r>
        <w:rPr>
          <w:rStyle w:val="Refdenotaalpie"/>
          <w:rFonts w:ascii="Times New Roman" w:hAnsi="Times New Roman"/>
          <w:sz w:val="24"/>
          <w:szCs w:val="24"/>
          <w:lang w:val="es-AR"/>
        </w:rPr>
        <w:footnoteReference w:id="16"/>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u w:val="single"/>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2.2.6 Otras constituciones europeas de entreguerras</w:t>
      </w:r>
    </w:p>
    <w:p w:rsidR="00000000" w:rsidRDefault="007B5A38">
      <w:pPr>
        <w:jc w:val="both"/>
        <w:rPr>
          <w:rFonts w:ascii="Times New Roman" w:hAnsi="Times New Roman"/>
          <w:b/>
          <w:bCs/>
          <w:sz w:val="24"/>
          <w:szCs w:val="24"/>
          <w:lang w:val="es-AR"/>
        </w:rPr>
      </w:pPr>
      <w:r>
        <w:rPr>
          <w:rFonts w:ascii="Times New Roman" w:hAnsi="Times New Roman"/>
          <w:sz w:val="24"/>
          <w:szCs w:val="24"/>
          <w:lang w:val="es-AR"/>
        </w:rPr>
        <w:lastRenderedPageBreak/>
        <w:t>El repaso hecho hasta aquí no tiene pretensiones de exhaustividad: durante el período de entreguerras muchos otros países – particularmente en Europa – adoptaron constituciones</w:t>
      </w:r>
      <w:r>
        <w:rPr>
          <w:rFonts w:ascii="Times New Roman" w:hAnsi="Times New Roman"/>
          <w:sz w:val="24"/>
          <w:szCs w:val="24"/>
          <w:lang w:val="es-AR"/>
        </w:rPr>
        <w:t xml:space="preserve"> que recogen en mayor o menor medida las innovaciones que hemos abordado en esta sección</w:t>
      </w:r>
      <w:r>
        <w:rPr>
          <w:rStyle w:val="Refdenotaalpie"/>
          <w:rFonts w:ascii="Times New Roman" w:hAnsi="Times New Roman"/>
          <w:sz w:val="24"/>
          <w:szCs w:val="24"/>
          <w:lang w:val="es-AR"/>
        </w:rPr>
        <w:footnoteReference w:id="17"/>
      </w:r>
      <w:r>
        <w:rPr>
          <w:rFonts w:ascii="Times New Roman" w:hAnsi="Times New Roman"/>
          <w:sz w:val="24"/>
          <w:szCs w:val="24"/>
          <w:lang w:val="es-AR"/>
        </w:rPr>
        <w:t>. Entre ellas pueden citarse la ley suprema de Estonia de 1920, la Constitución austríaca de 1920, la Constitución polaca de 1921, la Constitución de Yugoslavia de 192</w:t>
      </w:r>
      <w:r>
        <w:rPr>
          <w:rFonts w:ascii="Times New Roman" w:hAnsi="Times New Roman"/>
          <w:sz w:val="24"/>
          <w:szCs w:val="24"/>
          <w:lang w:val="es-AR"/>
        </w:rPr>
        <w:t>1 (Constitución de Vidovdan) la Constitución de Danzig de 1922, la Constitución polaca de 1921, la Constitución rumana de 1923 y la Constitución griega de 1927.</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b/>
          <w:sz w:val="24"/>
          <w:szCs w:val="24"/>
          <w:lang w:val="es-ES_tradnl"/>
        </w:rPr>
      </w:pPr>
      <w:r>
        <w:rPr>
          <w:rFonts w:ascii="Times New Roman" w:hAnsi="Times New Roman"/>
          <w:b/>
          <w:sz w:val="24"/>
          <w:szCs w:val="24"/>
          <w:lang w:val="es-ES_tradnl"/>
        </w:rPr>
        <w:t>2.3) El constitucionalismo social latinoamericano (1930-1960)</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experiencia de la Constitució</w:t>
      </w:r>
      <w:r>
        <w:rPr>
          <w:rFonts w:ascii="Times New Roman" w:hAnsi="Times New Roman"/>
          <w:sz w:val="24"/>
          <w:szCs w:val="24"/>
          <w:lang w:val="es-AR"/>
        </w:rPr>
        <w:t>n mexicana de 1917 y la influencia del naciente constitucionalismo social europeo no tardaron en difundirse en América latina, donde la convergencia de las tradiciones políticas socialcristiana, conservadora y socialista ofreció un caldo de cultivo propici</w:t>
      </w:r>
      <w:r>
        <w:rPr>
          <w:rFonts w:ascii="Times New Roman" w:hAnsi="Times New Roman"/>
          <w:sz w:val="24"/>
          <w:szCs w:val="24"/>
          <w:lang w:val="es-AR"/>
        </w:rPr>
        <w:t>o para las propuestas de inclusión de cláusulas sociales en las constituciones. Ciertamente, no todas las experiencias constitucionales son análogas: aunque existen algunos rasgos comunes – preocupación por el trabajo, la familia, la maternidad y la infanc</w:t>
      </w:r>
      <w:r>
        <w:rPr>
          <w:rFonts w:ascii="Times New Roman" w:hAnsi="Times New Roman"/>
          <w:sz w:val="24"/>
          <w:szCs w:val="24"/>
          <w:lang w:val="es-AR"/>
        </w:rPr>
        <w:t>ia, intervención estatal en la economía – hay marcadas diferencias entre países caracterizados por una tradición social democrática, con pluralismo y mayor libertad sindical – es el caso de Uruguay, Chile, Costa Rica y, con algunos matices, Colombia y Vene</w:t>
      </w:r>
      <w:r>
        <w:rPr>
          <w:rFonts w:ascii="Times New Roman" w:hAnsi="Times New Roman"/>
          <w:sz w:val="24"/>
          <w:szCs w:val="24"/>
          <w:lang w:val="es-AR"/>
        </w:rPr>
        <w:t>zuela – , y otros en los que los que prima un modelo de rasgos más centralistas, corporativos o paternalistas – como en el caso de Argentina, Brasil, México y Paraguay. Las disposiciones en materia social coexisten en muchos casos con cláusulas expresas de</w:t>
      </w:r>
      <w:r>
        <w:rPr>
          <w:rFonts w:ascii="Times New Roman" w:hAnsi="Times New Roman"/>
          <w:sz w:val="24"/>
          <w:szCs w:val="24"/>
          <w:lang w:val="es-AR"/>
        </w:rPr>
        <w:t xml:space="preserve"> ilegalización del comunismo, del anarquismo o de otras “ideologías internacionalistas”.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Pese a un indudable aire común de familia en los textos normativos, la suerte de las constituciones presentadas aquí es enormemente dispar – en algunos casos mantuvie</w:t>
      </w:r>
      <w:r>
        <w:rPr>
          <w:rFonts w:ascii="Times New Roman" w:hAnsi="Times New Roman"/>
          <w:sz w:val="24"/>
          <w:szCs w:val="24"/>
          <w:lang w:val="es-AR"/>
        </w:rPr>
        <w:t>ron su vigencia por largo tiempo y dieron aliento al desarrollo de instituciones de bienestar, pero en muchos casos fueron experimentos frustrados o interrumpidos, o instrumentos de valor meramente retórico</w:t>
      </w:r>
      <w:r>
        <w:rPr>
          <w:rStyle w:val="Refdenotaalpie"/>
          <w:rFonts w:ascii="Times New Roman" w:hAnsi="Times New Roman"/>
          <w:sz w:val="24"/>
          <w:szCs w:val="24"/>
          <w:lang w:val="es-AR"/>
        </w:rPr>
        <w:footnoteReference w:id="18"/>
      </w:r>
      <w:r>
        <w:rPr>
          <w:rFonts w:ascii="Times New Roman" w:hAnsi="Times New Roman"/>
          <w:sz w:val="24"/>
          <w:szCs w:val="24"/>
          <w:lang w:val="es-AR"/>
        </w:rPr>
        <w:t xml:space="preserve">.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todo caso, la constitucionalización de dere</w:t>
      </w:r>
      <w:r>
        <w:rPr>
          <w:rFonts w:ascii="Times New Roman" w:hAnsi="Times New Roman"/>
          <w:sz w:val="24"/>
          <w:szCs w:val="24"/>
          <w:lang w:val="es-AR"/>
        </w:rPr>
        <w:t>chos sociales y de mandatos sustantivos al Estado en materia social se generalizó en pocos años, al punto tal que – como veremos – cuando en la segunda posguerra comenzó a discutirse la adopción de instrumentos internacional de derechos humanos – tanto reg</w:t>
      </w:r>
      <w:r>
        <w:rPr>
          <w:rFonts w:ascii="Times New Roman" w:hAnsi="Times New Roman"/>
          <w:sz w:val="24"/>
          <w:szCs w:val="24"/>
          <w:lang w:val="es-AR"/>
        </w:rPr>
        <w:t xml:space="preserve">ionales como universales – existió entre los países de la región un significativo consenso en favor de la inclusión de derechos sociales en esos instrumentos.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lastRenderedPageBreak/>
        <w:t>Durante la década de 1930, son varios los países de la región que llevan a cabo reformas constit</w:t>
      </w:r>
      <w:r>
        <w:rPr>
          <w:rFonts w:ascii="Times New Roman" w:hAnsi="Times New Roman"/>
          <w:sz w:val="24"/>
          <w:szCs w:val="24"/>
          <w:lang w:val="es-AR"/>
        </w:rPr>
        <w:t>ucionales para incluir tanto derechos como mandatos para el Estado, particularmente en materia de trabajo y de protección de la familia, de la maternidad y de la niñez</w:t>
      </w:r>
      <w:r>
        <w:rPr>
          <w:rStyle w:val="Refdenotaalpie"/>
          <w:rFonts w:ascii="Times New Roman" w:hAnsi="Times New Roman"/>
          <w:sz w:val="24"/>
          <w:szCs w:val="24"/>
          <w:lang w:val="es-AR"/>
        </w:rPr>
        <w:footnoteReference w:id="19"/>
      </w:r>
      <w:r>
        <w:rPr>
          <w:rFonts w:ascii="Times New Roman" w:hAnsi="Times New Roman"/>
          <w:sz w:val="24"/>
          <w:szCs w:val="24"/>
          <w:lang w:val="es-AR"/>
        </w:rPr>
        <w:t xml:space="preserve">.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Así, por ejemplo, la Constitución peruana de 1933, cuya vigencia se extendió, con in</w:t>
      </w:r>
      <w:r>
        <w:rPr>
          <w:rFonts w:ascii="Times New Roman" w:hAnsi="Times New Roman"/>
          <w:sz w:val="24"/>
          <w:szCs w:val="24"/>
          <w:lang w:val="es-AR"/>
        </w:rPr>
        <w:t>terrupciones autoritarias, hasta 1980, es notoria por la introducción de un capítulo de “Garantías nacionales y sociales”, ubicado aún antes del dedicado a las “Garantías individuales” – bajo el que se agrupaban derechos de libertad</w:t>
      </w:r>
      <w:r>
        <w:rPr>
          <w:rStyle w:val="Refdenotaalpie"/>
          <w:rFonts w:ascii="Times New Roman" w:hAnsi="Times New Roman"/>
          <w:sz w:val="24"/>
          <w:szCs w:val="24"/>
          <w:lang w:val="es-AR"/>
        </w:rPr>
        <w:footnoteReference w:id="20"/>
      </w:r>
      <w:r>
        <w:rPr>
          <w:rFonts w:ascii="Times New Roman" w:hAnsi="Times New Roman"/>
          <w:sz w:val="24"/>
          <w:szCs w:val="24"/>
          <w:lang w:val="es-AR"/>
        </w:rPr>
        <w:t>. En ese capítulo, cuyo</w:t>
      </w:r>
      <w:r>
        <w:rPr>
          <w:rFonts w:ascii="Times New Roman" w:hAnsi="Times New Roman"/>
          <w:sz w:val="24"/>
          <w:szCs w:val="24"/>
          <w:lang w:val="es-AR"/>
        </w:rPr>
        <w:t xml:space="preserve"> lenguaje aparece claramente inspirado por la Constitución republicana española, se incluían cláusulas en materia laboral – mandato de legislar en materia de contrato colectivo de trabajo, defensa de los trabajadores, seguridad e higiene del trabajo indust</w:t>
      </w:r>
      <w:r>
        <w:rPr>
          <w:rFonts w:ascii="Times New Roman" w:hAnsi="Times New Roman"/>
          <w:sz w:val="24"/>
          <w:szCs w:val="24"/>
          <w:lang w:val="es-AR"/>
        </w:rPr>
        <w:t>rial, condiciones de trabajo, salario mínimo, indemnizaciones por despido y por accidentes, prohibición de estipulaciones en el contrato de trabajo que restringieran el ejercicio de “derechos civiles, políticos y sociales”, participación de los trabajadore</w:t>
      </w:r>
      <w:r>
        <w:rPr>
          <w:rFonts w:ascii="Times New Roman" w:hAnsi="Times New Roman"/>
          <w:sz w:val="24"/>
          <w:szCs w:val="24"/>
          <w:lang w:val="es-AR"/>
        </w:rPr>
        <w:t>s en los beneficios dela empresa –, de seguridad social – identificando la desocupación, vejez, enfermedad, invalidez y muerte como contingencias a ser cubiertas por la legislación – , salud y protección del matrimonio, la familia, la maternidad y la niñez</w:t>
      </w:r>
      <w:r>
        <w:rPr>
          <w:rFonts w:ascii="Times New Roman" w:hAnsi="Times New Roman"/>
          <w:sz w:val="24"/>
          <w:szCs w:val="24"/>
          <w:lang w:val="es-AR"/>
        </w:rPr>
        <w:t xml:space="preserve"> – haciendo hincapié en las obligaciones estatales de asistencia respecto de los niños “en situación de abandono, de enfermedad o de desgracia”.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Como en la Constitución de Weimar y en la Constitución republicana española, se autorizaba al Estado a interve</w:t>
      </w:r>
      <w:r>
        <w:rPr>
          <w:rFonts w:ascii="Times New Roman" w:hAnsi="Times New Roman"/>
          <w:sz w:val="24"/>
          <w:szCs w:val="24"/>
          <w:lang w:val="es-AR"/>
        </w:rPr>
        <w:t>nir en la economía por razones de interés nacional, se consagraba la función social de la propiedad y se autorizaba al Estado a regularla, se establecía  la propiedad pública de los recursos naturales y se habilitaba la facultad estatal de regular activida</w:t>
      </w:r>
      <w:r>
        <w:rPr>
          <w:rFonts w:ascii="Times New Roman" w:hAnsi="Times New Roman"/>
          <w:sz w:val="24"/>
          <w:szCs w:val="24"/>
          <w:lang w:val="es-AR"/>
        </w:rPr>
        <w:t>des tales como el transporte y los préstamos.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el mismo capítulo, la Constitución desconocía la existencia legal de “los partidos políticos de organización internacional” – eufemismo para referirse al comunismo y a la Alianza Popular Revolucionaria Ameri</w:t>
      </w:r>
      <w:r>
        <w:rPr>
          <w:rFonts w:ascii="Times New Roman" w:hAnsi="Times New Roman"/>
          <w:sz w:val="24"/>
          <w:szCs w:val="24"/>
          <w:lang w:val="es-AR"/>
        </w:rPr>
        <w:t xml:space="preserve">cana.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La Constitución de 1933 dedicaba además otro capítulo específico a la educación, en el que se decretaba el carácter gratuito y obligatorio de la educación primaria y el fomento de la educación secundaria y superior, “con tendencia a la gratuidad”. </w:t>
      </w:r>
      <w:r>
        <w:rPr>
          <w:rFonts w:ascii="Times New Roman" w:hAnsi="Times New Roman"/>
          <w:sz w:val="24"/>
          <w:szCs w:val="24"/>
          <w:lang w:val="es-AR"/>
        </w:rPr>
        <w:t>El Estado se comprometía a crear escuelas primarias en todo lugar donde la población escolar fuera al menos de treinta alumnos, y a fomentar la educación de orientación industrial, la enseñanza técnica de los obreros y la educación pre y post-escolar. Se e</w:t>
      </w:r>
      <w:r>
        <w:rPr>
          <w:rFonts w:ascii="Times New Roman" w:hAnsi="Times New Roman"/>
          <w:sz w:val="24"/>
          <w:szCs w:val="24"/>
          <w:lang w:val="es-AR"/>
        </w:rPr>
        <w:t>ncomendaba también al Estado la salvaguarda de los</w:t>
      </w:r>
      <w:r>
        <w:rPr>
          <w:rFonts w:ascii="Times New Roman" w:hAnsi="Times New Roman"/>
          <w:sz w:val="24"/>
          <w:szCs w:val="24"/>
          <w:lang w:val="es-AR" w:eastAsia="en-GB"/>
        </w:rPr>
        <w:t xml:space="preserve"> </w:t>
      </w:r>
      <w:r>
        <w:rPr>
          <w:rFonts w:ascii="Times New Roman" w:hAnsi="Times New Roman"/>
          <w:sz w:val="24"/>
          <w:szCs w:val="24"/>
          <w:lang w:val="es-AR"/>
        </w:rPr>
        <w:t>tesoros arqueológicos, artísticos e históricos.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En 1934 Uruguay adopta una constitución de orientación social, que inauguraría una tendencia reiterada por las constituciones de 1942 y 1952, cimentando un </w:t>
      </w:r>
      <w:r>
        <w:rPr>
          <w:rFonts w:ascii="Times New Roman" w:hAnsi="Times New Roman"/>
          <w:sz w:val="24"/>
          <w:szCs w:val="24"/>
          <w:lang w:val="es-AR"/>
        </w:rPr>
        <w:t xml:space="preserve">notable período de expansión de unos de los ejemplos más desarrollados de Estado de bienestar en América Latina. Bajo la sección dedicada a “Derechos, deberes y garantías”, la constitución incluye un capítulo dedicado predominantemente a la enumeración de </w:t>
      </w:r>
      <w:r>
        <w:rPr>
          <w:rFonts w:ascii="Times New Roman" w:hAnsi="Times New Roman"/>
          <w:sz w:val="24"/>
          <w:szCs w:val="24"/>
          <w:lang w:val="es-AR"/>
        </w:rPr>
        <w:t xml:space="preserve">mandatos sustantivos para el Estado en materia social, aunque también se reconocen explícitamente algunos derechos. </w:t>
      </w:r>
    </w:p>
    <w:p w:rsidR="00000000" w:rsidRDefault="007B5A38">
      <w:pPr>
        <w:jc w:val="both"/>
        <w:rPr>
          <w:rFonts w:ascii="Times New Roman" w:hAnsi="Times New Roman"/>
          <w:sz w:val="24"/>
          <w:szCs w:val="24"/>
          <w:lang w:val="es-AR"/>
        </w:rPr>
      </w:pPr>
      <w:bookmarkStart w:id="1" w:name="art39"/>
      <w:r>
        <w:rPr>
          <w:rFonts w:ascii="Times New Roman" w:hAnsi="Times New Roman"/>
          <w:sz w:val="24"/>
          <w:szCs w:val="24"/>
          <w:lang w:val="es-AR"/>
        </w:rPr>
        <w:t>Así, se encomienda al Estado velar “por el fomento social de la familia”, y se dedican varios artículos a la protección de la familia, al e</w:t>
      </w:r>
      <w:r>
        <w:rPr>
          <w:rFonts w:ascii="Times New Roman" w:hAnsi="Times New Roman"/>
          <w:sz w:val="24"/>
          <w:szCs w:val="24"/>
          <w:lang w:val="es-AR"/>
        </w:rPr>
        <w:t>stablecimiento de deberes de los padres respecto de sus hijos, sin distinción entre hijos matrimoniales y extramatrimoniales, a la protección legal del bien de familia y obligaciones del Estado de protección de la infancia y juventud en caso de abandono co</w:t>
      </w:r>
      <w:r>
        <w:rPr>
          <w:rFonts w:ascii="Times New Roman" w:hAnsi="Times New Roman"/>
          <w:sz w:val="24"/>
          <w:szCs w:val="24"/>
          <w:lang w:val="es-AR"/>
        </w:rPr>
        <w:t>rporal, intelectual o moral de sus padres o de explotación y abuso. Se reconocen el derecho a “auxilios compensatorios” a quienes tengan a cargo familias numerosas, y a la protección y asistencia de la maternidad. El Estado asume también la protección de l</w:t>
      </w:r>
      <w:r>
        <w:rPr>
          <w:rFonts w:ascii="Times New Roman" w:hAnsi="Times New Roman"/>
          <w:sz w:val="24"/>
          <w:szCs w:val="24"/>
          <w:lang w:val="es-AR"/>
        </w:rPr>
        <w:t>os indigentes o carentes de recursos suficientes que no puedan trabajar, y se compromete a ofrecerles prevención y asistencia sanitaria.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También se incluye como fin propiciado por el Estado el alojamiento higiénico y económico del obrero</w:t>
      </w:r>
      <w:bookmarkEnd w:id="1"/>
      <w:r>
        <w:rPr>
          <w:rFonts w:ascii="Times New Roman" w:hAnsi="Times New Roman"/>
          <w:sz w:val="24"/>
          <w:szCs w:val="24"/>
          <w:lang w:val="es-AR"/>
        </w:rPr>
        <w:t>, favoreciéndose  l</w:t>
      </w:r>
      <w:r>
        <w:rPr>
          <w:rFonts w:ascii="Times New Roman" w:hAnsi="Times New Roman"/>
          <w:sz w:val="24"/>
          <w:szCs w:val="24"/>
          <w:lang w:val="es-AR"/>
        </w:rPr>
        <w:t>a construcción de viviendas y barrios en ese sentido.</w:t>
      </w:r>
    </w:p>
    <w:p w:rsidR="00000000" w:rsidRDefault="007B5A38">
      <w:pPr>
        <w:jc w:val="both"/>
        <w:rPr>
          <w:rFonts w:ascii="Times New Roman" w:hAnsi="Times New Roman"/>
          <w:sz w:val="24"/>
          <w:szCs w:val="24"/>
          <w:lang w:val="es-AR"/>
        </w:rPr>
      </w:pPr>
      <w:bookmarkStart w:id="2" w:name="art50"/>
      <w:r>
        <w:rPr>
          <w:rFonts w:ascii="Times New Roman" w:hAnsi="Times New Roman"/>
          <w:sz w:val="24"/>
          <w:szCs w:val="24"/>
          <w:lang w:val="es-AR"/>
        </w:rPr>
        <w:t>Otras áreas que la constitución encomendaba al Estado eran la regulación de las tarifas de servicios públicos, la prohibición de la usura y la regulación de los intereses en materia de préstamos.</w:t>
      </w:r>
    </w:p>
    <w:p w:rsidR="00000000" w:rsidRDefault="007B5A38">
      <w:pPr>
        <w:jc w:val="both"/>
        <w:rPr>
          <w:rFonts w:ascii="Times New Roman" w:hAnsi="Times New Roman"/>
          <w:sz w:val="24"/>
          <w:szCs w:val="24"/>
          <w:lang w:val="es-AR"/>
        </w:rPr>
      </w:pPr>
      <w:bookmarkStart w:id="3" w:name="art52"/>
      <w:bookmarkEnd w:id="2"/>
      <w:r>
        <w:rPr>
          <w:rFonts w:ascii="Times New Roman" w:hAnsi="Times New Roman"/>
          <w:sz w:val="24"/>
          <w:szCs w:val="24"/>
          <w:lang w:val="es-AR"/>
        </w:rPr>
        <w:t>Pero l</w:t>
      </w:r>
      <w:r>
        <w:rPr>
          <w:rFonts w:ascii="Times New Roman" w:hAnsi="Times New Roman"/>
          <w:sz w:val="24"/>
          <w:szCs w:val="24"/>
          <w:lang w:val="es-AR"/>
        </w:rPr>
        <w:t>a materia abordada con mayor detalle era la laboral. El trabajo se colocaba bajo la protección especial de la ley: se lo un deber de las personas y se señalaba que la colectividad procuraría ofrecer a las personas la posibilidad de ganar su sustento median</w:t>
      </w:r>
      <w:r>
        <w:rPr>
          <w:rFonts w:ascii="Times New Roman" w:hAnsi="Times New Roman"/>
          <w:sz w:val="24"/>
          <w:szCs w:val="24"/>
          <w:lang w:val="es-AR"/>
        </w:rPr>
        <w:t>te el desarrollo de una actividad económica. La ley debía garantizar</w:t>
      </w:r>
      <w:bookmarkEnd w:id="3"/>
      <w:r>
        <w:rPr>
          <w:rFonts w:ascii="Times New Roman" w:hAnsi="Times New Roman"/>
          <w:sz w:val="24"/>
          <w:szCs w:val="24"/>
          <w:lang w:val="es-AR"/>
        </w:rPr>
        <w:t xml:space="preserve"> la justa remuneración, la limitación de la jornada, el descanso semanal, la higiene física y moral, la protección de trabajadoras mujeres y de los menores de dieciocho años, la distribuci</w:t>
      </w:r>
      <w:r>
        <w:rPr>
          <w:rFonts w:ascii="Times New Roman" w:hAnsi="Times New Roman"/>
          <w:sz w:val="24"/>
          <w:szCs w:val="24"/>
          <w:lang w:val="es-AR"/>
        </w:rPr>
        <w:t>ón imparcial y equitativa del trabajo, y la provisión de alimentación y alojamiento adecuados por parte de las empresas cuyo actividad obligara a la presencia del personal en el respectivo establecimiento. En materia de derechos laborales colectivos, la le</w:t>
      </w:r>
      <w:r>
        <w:rPr>
          <w:rFonts w:ascii="Times New Roman" w:hAnsi="Times New Roman"/>
          <w:sz w:val="24"/>
          <w:szCs w:val="24"/>
          <w:lang w:val="es-AR"/>
        </w:rPr>
        <w:t>y debía promover la organización sindical, la creación de tribunales de conciliación y arbitraje. Se reconocía la huelga como derecho gremial, sometida a la reglamentación de la ley.</w:t>
      </w:r>
    </w:p>
    <w:p w:rsidR="00000000" w:rsidRDefault="007B5A38">
      <w:pPr>
        <w:jc w:val="both"/>
        <w:rPr>
          <w:rFonts w:ascii="Times New Roman" w:hAnsi="Times New Roman"/>
          <w:sz w:val="24"/>
          <w:szCs w:val="24"/>
          <w:lang w:val="es-AR"/>
        </w:rPr>
      </w:pPr>
      <w:r>
        <w:rPr>
          <w:rFonts w:ascii="Times New Roman" w:hAnsi="Times New Roman"/>
          <w:sz w:val="24"/>
          <w:szCs w:val="24"/>
          <w:lang w:val="es-AR"/>
        </w:rPr>
        <w:t>También se incluía una cláusula de garantía institucional de la imparcial</w:t>
      </w:r>
      <w:r>
        <w:rPr>
          <w:rFonts w:ascii="Times New Roman" w:hAnsi="Times New Roman"/>
          <w:sz w:val="24"/>
          <w:szCs w:val="24"/>
          <w:lang w:val="es-AR"/>
        </w:rPr>
        <w:t xml:space="preserve">idad y profesionalismo de la administración pública, con salvaguardas referidas a las condiciones de ingreso, ascenso, permanencia, cesación, suspensión y traslado de los funcionarios. La Constitución declaraba que “el funcionario existe para la función y </w:t>
      </w:r>
      <w:r>
        <w:rPr>
          <w:rFonts w:ascii="Times New Roman" w:hAnsi="Times New Roman"/>
          <w:sz w:val="24"/>
          <w:szCs w:val="24"/>
          <w:lang w:val="es-AR"/>
        </w:rPr>
        <w:t>no la función para el funcionario”.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Se establecían también las bases de la seguridad social: “(l)as jubilaciones generales y seguros sociales se organizarán en forma de garantizar a todos los trabajadores, patronos, empleados y obreros, retiros adecuados y</w:t>
      </w:r>
      <w:r>
        <w:rPr>
          <w:rFonts w:ascii="Times New Roman" w:hAnsi="Times New Roman"/>
          <w:sz w:val="24"/>
          <w:szCs w:val="24"/>
          <w:lang w:val="es-AR"/>
        </w:rPr>
        <w:t xml:space="preserve"> subsidios para los casos de accidentes, enfermedad, invalidez, </w:t>
      </w:r>
      <w:r>
        <w:rPr>
          <w:rFonts w:ascii="Times New Roman" w:hAnsi="Times New Roman"/>
          <w:sz w:val="24"/>
          <w:szCs w:val="24"/>
          <w:lang w:val="es-AR"/>
        </w:rPr>
        <w:lastRenderedPageBreak/>
        <w:t>desocupación forzosa” y “a sus familias, en caso de muerte, la pensión correspondiente”. Se reconocía el derecho a una pensión de vejez  “para el que llegue al límite de la edad productiva, de</w:t>
      </w:r>
      <w:r>
        <w:rPr>
          <w:rFonts w:ascii="Times New Roman" w:hAnsi="Times New Roman"/>
          <w:sz w:val="24"/>
          <w:szCs w:val="24"/>
          <w:lang w:val="es-AR"/>
        </w:rPr>
        <w:t>spués de larga permanencia en el país y carezca de recursos para subvenir a sus necesidades vitales”.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Finalmente, la Constitución de 1934 también dedicaba varias disposiciones a la educación. Se establecía la obligatoriedad y gratuidad de la educación prim</w:t>
      </w:r>
      <w:r>
        <w:rPr>
          <w:rFonts w:ascii="Times New Roman" w:hAnsi="Times New Roman"/>
          <w:sz w:val="24"/>
          <w:szCs w:val="24"/>
          <w:lang w:val="es-AR"/>
        </w:rPr>
        <w:t>aria, a cargo del Estado, y se declaraba de utilidad social “la gratuidad de la enseñanza oficial primaria, media, superior, industrial y artística y de la educación física; la creación de becas de perfeccionamiento y especialización cultural, científica y</w:t>
      </w:r>
      <w:r>
        <w:rPr>
          <w:rFonts w:ascii="Times New Roman" w:hAnsi="Times New Roman"/>
          <w:sz w:val="24"/>
          <w:szCs w:val="24"/>
          <w:lang w:val="es-AR"/>
        </w:rPr>
        <w:t xml:space="preserve"> obrera, y el establecimiento de bibliotecas populares”. También se exoneraba de impuestos a las instituciones privadas que dieran clases gratuitas a un determinado número de alumnos y a las instituciones culturales. Todas las instituciones docentes debían</w:t>
      </w:r>
      <w:r>
        <w:rPr>
          <w:rFonts w:ascii="Times New Roman" w:hAnsi="Times New Roman"/>
          <w:sz w:val="24"/>
          <w:szCs w:val="24"/>
          <w:lang w:val="es-AR"/>
        </w:rPr>
        <w:t xml:space="preserve"> “atender especialmente la formación del carácter moral y cívico de los alumnos”.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uruguaya de 1942 repite en su integridad este capítulo, y la Constitución de 1951 lo reproduce de forma prácticamente idéntica, con algunas modificaciones des</w:t>
      </w:r>
      <w:r>
        <w:rPr>
          <w:rFonts w:ascii="Times New Roman" w:hAnsi="Times New Roman"/>
          <w:sz w:val="24"/>
          <w:szCs w:val="24"/>
          <w:lang w:val="es-AR"/>
        </w:rPr>
        <w:t>tinadas a regular con mayor detalle el régimen de la administración pública.</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La década de 1930 marca también el inicio del constitucionalismo social en Brasil, en el contexto del régimen político de tinte paternalista y corporativista liderado por Getúlio</w:t>
      </w:r>
      <w:r>
        <w:rPr>
          <w:rFonts w:ascii="Times New Roman" w:hAnsi="Times New Roman"/>
          <w:sz w:val="24"/>
          <w:szCs w:val="24"/>
          <w:lang w:val="es-AR"/>
        </w:rPr>
        <w:t xml:space="preserve"> Vargas. La Constitución brasileña de 1934 incluía en su parte dogmática detalladas disposiciones en materia social bajo títulos referidos al “orden económico y social” y a “familia, educación y cultura”, aunque los colocaba fuera del título dedicado a la </w:t>
      </w:r>
      <w:r>
        <w:rPr>
          <w:rFonts w:ascii="Times New Roman" w:hAnsi="Times New Roman"/>
          <w:sz w:val="24"/>
          <w:szCs w:val="24"/>
          <w:lang w:val="es-AR"/>
        </w:rPr>
        <w:t xml:space="preserve">“declaración de derechos”.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título denominado “orden económico y social”, extenso y detallado, estaba dedicado predominantemente a la intervención y regulación estatal del orden económico que, de acuerdo con la Constitución debía “ser organizado confor</w:t>
      </w:r>
      <w:r>
        <w:rPr>
          <w:rFonts w:ascii="Times New Roman" w:hAnsi="Times New Roman"/>
          <w:sz w:val="24"/>
          <w:szCs w:val="24"/>
          <w:lang w:val="es-AR"/>
        </w:rPr>
        <w:t>me a los principios de la justicia y a las necesidades de la vida nacional, de modo que posibilite a todos una existencia digna”. Se encomendaba a los poderes públicos “verificar periódicamente el nivel de vida en las distintas regiones del país”. El Estad</w:t>
      </w:r>
      <w:r>
        <w:rPr>
          <w:rFonts w:ascii="Times New Roman" w:hAnsi="Times New Roman"/>
          <w:sz w:val="24"/>
          <w:szCs w:val="24"/>
          <w:lang w:val="es-AR"/>
        </w:rPr>
        <w:t>o podía monopolizar una determinada industria o actividad económica; la constitución encomendaba al Estado la regulación, intervención o el cumplimiento de objetivos específicos en materia de economía popular, desarrollo del crédito, nacionalización de los</w:t>
      </w:r>
      <w:r>
        <w:rPr>
          <w:rFonts w:ascii="Times New Roman" w:hAnsi="Times New Roman"/>
          <w:sz w:val="24"/>
          <w:szCs w:val="24"/>
          <w:lang w:val="es-AR"/>
        </w:rPr>
        <w:t xml:space="preserve"> bancos de depósito y de las compañías de seguro, recursos naturales y fuentes de energía, prestación de servicios públicos, empresas periodísticas, empresas navieras y obras públicas. En el mismo título se abordaba la disciplina constitucional del trabajo</w:t>
      </w:r>
      <w:r>
        <w:rPr>
          <w:rFonts w:ascii="Times New Roman" w:hAnsi="Times New Roman"/>
          <w:sz w:val="24"/>
          <w:szCs w:val="24"/>
          <w:lang w:val="es-AR"/>
        </w:rPr>
        <w:t xml:space="preserve"> y de la protección social. En materia laboral, se reconocían los sindicatos y las asociaciones profesionales, y se encomendaba a la ley promover la producción y establecer las condiciones de trabajo teniendo en vista la protección social del trabajador y </w:t>
      </w:r>
      <w:r>
        <w:rPr>
          <w:rFonts w:ascii="Times New Roman" w:hAnsi="Times New Roman"/>
          <w:sz w:val="24"/>
          <w:szCs w:val="24"/>
          <w:lang w:val="es-AR"/>
        </w:rPr>
        <w:t>el interés económico nacional.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legislación laboral incluiría la igual remuneración por igual tarea, el salario mínimo, la limitación de la jornada laboral, la prohibición del trabajo de menores de catorce años y del trabajo insalubre para menores y muje</w:t>
      </w:r>
      <w:r>
        <w:rPr>
          <w:rFonts w:ascii="Times New Roman" w:hAnsi="Times New Roman"/>
          <w:sz w:val="24"/>
          <w:szCs w:val="24"/>
          <w:lang w:val="es-AR"/>
        </w:rPr>
        <w:t xml:space="preserve">res, el descanso semanal, las vacaciones pagas, la indemnización por despido injusto, la asistencia médica al trabajador y a la trabajadora </w:t>
      </w:r>
      <w:r>
        <w:rPr>
          <w:rFonts w:ascii="Times New Roman" w:hAnsi="Times New Roman"/>
          <w:sz w:val="24"/>
          <w:szCs w:val="24"/>
          <w:lang w:val="es-AR"/>
        </w:rPr>
        <w:lastRenderedPageBreak/>
        <w:t>embarazada, con licencia por maternidad paga, y la institución de la seguridad social, en caso de vejez, maternidad,</w:t>
      </w:r>
      <w:r>
        <w:rPr>
          <w:rFonts w:ascii="Times New Roman" w:hAnsi="Times New Roman"/>
          <w:sz w:val="24"/>
          <w:szCs w:val="24"/>
          <w:lang w:val="es-AR"/>
        </w:rPr>
        <w:t xml:space="preserve"> accidente de trabajo y muerte, la reglamentación del ejercicio de las profesiones y el reconocimiento de las convenciones colectivas de trabajo. Se instituía también la justicia laboral para dirimir conflictos entre empleadores y trabajadores.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En materia </w:t>
      </w:r>
      <w:r>
        <w:rPr>
          <w:rFonts w:ascii="Times New Roman" w:hAnsi="Times New Roman"/>
          <w:sz w:val="24"/>
          <w:szCs w:val="24"/>
          <w:lang w:val="es-AR"/>
        </w:rPr>
        <w:t>de protección social, se encomendaba a la Unión, los Estados y los municipios, en los términos de la ley, asegurar la protección de los desvalidos, creando servicios especializados, proteger la maternidad y la infancia, asistir a las familias numerosas, pr</w:t>
      </w:r>
      <w:r>
        <w:rPr>
          <w:rFonts w:ascii="Times New Roman" w:hAnsi="Times New Roman"/>
          <w:sz w:val="24"/>
          <w:szCs w:val="24"/>
          <w:lang w:val="es-AR"/>
        </w:rPr>
        <w:t>oteger a la juventud contra la explotación y contra el abandono físico, moral e intelectual, adoptar medidas pare reducir la mortalidad y morbilidad infantil y la propagación de enfermedades transmisibles. Se imponía a las empresas industriales o agrícolas</w:t>
      </w:r>
      <w:r>
        <w:rPr>
          <w:rFonts w:ascii="Times New Roman" w:hAnsi="Times New Roman"/>
          <w:sz w:val="24"/>
          <w:szCs w:val="24"/>
          <w:lang w:val="es-AR"/>
        </w:rPr>
        <w:t xml:space="preserve"> de más de cincuenta trabajadores la enseñanza primaria gratuita en caso de analfabetismo. Se encomendaba a la Unión la organización del servicio nacional de combate a las grandes epidemias del país.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título también dedicaba disposiciones a la regulación</w:t>
      </w:r>
      <w:r>
        <w:rPr>
          <w:rFonts w:ascii="Times New Roman" w:hAnsi="Times New Roman"/>
          <w:sz w:val="24"/>
          <w:szCs w:val="24"/>
          <w:lang w:val="es-AR"/>
        </w:rPr>
        <w:t xml:space="preserve"> de la propiedad urbana y rural, a la política migratoria, y al establecimiento de impuestos sobre la herencia.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el título dedicado a “familia, educación y cultura” se encomendaba a las autoridades velar por el desarrollo de la ciencia, del arte, de las</w:t>
      </w:r>
      <w:r>
        <w:rPr>
          <w:rFonts w:ascii="Times New Roman" w:hAnsi="Times New Roman"/>
          <w:sz w:val="24"/>
          <w:szCs w:val="24"/>
          <w:lang w:val="es-AR"/>
        </w:rPr>
        <w:t xml:space="preserve"> letras y de la cultura, proteger los objetos de interés histórico y artístico del país y prestar asistencia a los trabajadores intelectuales. En materia de educación, se consagraba la educación como “derecho de todos”, quedando obligados a proveerla la fa</w:t>
      </w:r>
      <w:r>
        <w:rPr>
          <w:rFonts w:ascii="Times New Roman" w:hAnsi="Times New Roman"/>
          <w:sz w:val="24"/>
          <w:szCs w:val="24"/>
          <w:lang w:val="es-AR"/>
        </w:rPr>
        <w:t>milia y los poderes públicos. A la Unión le competía adoptar el plan nacional de educación, bajo los siguientes principios: enseñanza primaria gratuita y obligatoria, incluyendo a los adultos; tendencia a la gratuidad de la enseñanza posterior a la primari</w:t>
      </w:r>
      <w:r>
        <w:rPr>
          <w:rFonts w:ascii="Times New Roman" w:hAnsi="Times New Roman"/>
          <w:sz w:val="24"/>
          <w:szCs w:val="24"/>
          <w:lang w:val="es-AR"/>
        </w:rPr>
        <w:t>a, a fin de garantizar su accesibilidad; libertad de cátedra, enseñanza en idioma nacional, limitación de la matrícula a la capacidad didáctica del establecimiento, con selección por medios objetivos adecuados a la finalidad del curso y reconocimiento de l</w:t>
      </w:r>
      <w:r>
        <w:rPr>
          <w:rFonts w:ascii="Times New Roman" w:hAnsi="Times New Roman"/>
          <w:sz w:val="24"/>
          <w:szCs w:val="24"/>
          <w:lang w:val="es-AR"/>
        </w:rPr>
        <w:t xml:space="preserve">as instituciones de enseñanza privada cuando aseguraran a los docentes estabilidad y remuneración digna.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de 1934 tuvo una vida corta, y fue reemplazada por una nueva Constitución adoptada en 1937. En materia social, sin embargo, el texto d</w:t>
      </w:r>
      <w:r>
        <w:rPr>
          <w:rFonts w:ascii="Times New Roman" w:hAnsi="Times New Roman"/>
          <w:sz w:val="24"/>
          <w:szCs w:val="24"/>
          <w:lang w:val="es-AR"/>
        </w:rPr>
        <w:t>e la nueva constitución sigue en buena medida tanto el orden como el contenido establecidos por la de 1934, con algunas modificaciones técnicas menores, y un sesgo corporativo más visible en materia laboral y económica.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de 1937 incluye títu</w:t>
      </w:r>
      <w:r>
        <w:rPr>
          <w:rFonts w:ascii="Times New Roman" w:hAnsi="Times New Roman"/>
          <w:sz w:val="24"/>
          <w:szCs w:val="24"/>
          <w:lang w:val="es-AR"/>
        </w:rPr>
        <w:t>los dedicados a la familia, a la educación, al orden económico y a los funcionarios públicos, y define en algunos casos con mayor detalle que su antecesora los fines encomendados al Estado. Bajo el título “familia” se reúnen disposiciones sobre la protecci</w:t>
      </w:r>
      <w:r>
        <w:rPr>
          <w:rFonts w:ascii="Times New Roman" w:hAnsi="Times New Roman"/>
          <w:sz w:val="24"/>
          <w:szCs w:val="24"/>
          <w:lang w:val="es-AR"/>
        </w:rPr>
        <w:t>ón de la familia que en la constitución de 1934 se ubicaban bajo el de “orden económico”. En materia de educación, se especifican con mayor detalle los deberes de las autoridades públicas y las bases del sistema educativo: el nuevo texto hace explícito, po</w:t>
      </w:r>
      <w:r>
        <w:rPr>
          <w:rFonts w:ascii="Times New Roman" w:hAnsi="Times New Roman"/>
          <w:sz w:val="24"/>
          <w:szCs w:val="24"/>
          <w:lang w:val="es-AR"/>
        </w:rPr>
        <w:t>r ejemplo, el deber de las autoridades públicas asegurar a la infancia y a la juventud que careciera de recursos necesarios para educarse en instituciones particulares, la posibilidad de recibir una educación adecuada a sus facultades, aptitudes y vocación</w:t>
      </w:r>
      <w:r>
        <w:rPr>
          <w:rFonts w:ascii="Times New Roman" w:hAnsi="Times New Roman"/>
          <w:sz w:val="24"/>
          <w:szCs w:val="24"/>
          <w:lang w:val="es-AR"/>
        </w:rPr>
        <w:t xml:space="preserve">, a través de la creación de instituciones públicas de enseñanza en todos los niveles. Se instituye también como deber del </w:t>
      </w:r>
      <w:r>
        <w:rPr>
          <w:rFonts w:ascii="Times New Roman" w:hAnsi="Times New Roman"/>
          <w:sz w:val="24"/>
          <w:szCs w:val="24"/>
          <w:lang w:val="es-AR"/>
        </w:rPr>
        <w:lastRenderedPageBreak/>
        <w:t>Estado la enseñanza pre-vocacional profesional, dedicada a las clases menos favorecidas. También se establecía el deber de las indust</w:t>
      </w:r>
      <w:r>
        <w:rPr>
          <w:rFonts w:ascii="Times New Roman" w:hAnsi="Times New Roman"/>
          <w:sz w:val="24"/>
          <w:szCs w:val="24"/>
          <w:lang w:val="es-AR"/>
        </w:rPr>
        <w:t xml:space="preserve">rias y de los sindicatos de crear escuelas de aprendices para los hijos de los trabajadores.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materia de orden económico, se define con mayor precisión la justificación de la intervención estatal en la economía: “la intervención del Estado en el dominio</w:t>
      </w:r>
      <w:r>
        <w:rPr>
          <w:rFonts w:ascii="Times New Roman" w:hAnsi="Times New Roman"/>
          <w:sz w:val="24"/>
          <w:szCs w:val="24"/>
          <w:lang w:val="es-AR"/>
        </w:rPr>
        <w:t xml:space="preserve"> económico sólo se legitima para suplir las deficiencias de la iniciativa privada y coordinar los factores de la producción, de manera de evitar o resolver sus conflictos e introducir en el juego de la competencia individual los intereses de la Nación, rep</w:t>
      </w:r>
      <w:r>
        <w:rPr>
          <w:rFonts w:ascii="Times New Roman" w:hAnsi="Times New Roman"/>
          <w:sz w:val="24"/>
          <w:szCs w:val="24"/>
          <w:lang w:val="es-AR"/>
        </w:rPr>
        <w:t>resentados por el Estado”. El trabajo se definía como un deber social, y se detallaban también con mayor precisión las bases de la legislación laboral y de la seguridad social. En el título también se cuelan algunos rasgos corporativistas y autoritarios. A</w:t>
      </w:r>
      <w:r>
        <w:rPr>
          <w:rFonts w:ascii="Times New Roman" w:hAnsi="Times New Roman"/>
          <w:sz w:val="24"/>
          <w:szCs w:val="24"/>
          <w:lang w:val="es-AR"/>
        </w:rPr>
        <w:t>sí, por ejemplo, si bien se declaraba la libertad sindical, se limitaba sin embargo a los sindicatos regularmente reconocidos por el Estado la representatividad de los trabajadores del sector y el derecho a la negociación colectiva. También se declaraban a</w:t>
      </w:r>
      <w:r>
        <w:rPr>
          <w:rFonts w:ascii="Times New Roman" w:hAnsi="Times New Roman"/>
          <w:sz w:val="24"/>
          <w:szCs w:val="24"/>
          <w:lang w:val="es-AR"/>
        </w:rPr>
        <w:t xml:space="preserve">ntisociales, nocivos y contrarios al interés superior de la producción nacional  tanto la huelga como el </w:t>
      </w:r>
      <w:r>
        <w:rPr>
          <w:rFonts w:ascii="Times New Roman" w:hAnsi="Times New Roman"/>
          <w:i/>
          <w:sz w:val="24"/>
          <w:szCs w:val="24"/>
          <w:lang w:val="es-AR"/>
        </w:rPr>
        <w:t>lock out</w:t>
      </w:r>
      <w:r>
        <w:rPr>
          <w:rFonts w:ascii="Times New Roman" w:hAnsi="Times New Roman"/>
          <w:sz w:val="24"/>
          <w:szCs w:val="24"/>
          <w:lang w:val="es-AR"/>
        </w:rPr>
        <w:t>, y se declaraba que la economía de la población se organizaría en corporaciones, y que estas corporaciones, “como entidades representativas de</w:t>
      </w:r>
      <w:r>
        <w:rPr>
          <w:rFonts w:ascii="Times New Roman" w:hAnsi="Times New Roman"/>
          <w:sz w:val="24"/>
          <w:szCs w:val="24"/>
          <w:lang w:val="es-AR"/>
        </w:rPr>
        <w:t xml:space="preserve"> las fuerzas del trabajo nacional colocadas bajo la asistencia y protección del Estado” son órganos y ejercen funciones delegadas de poder público.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Una nueva constitución adoptada en 1946 mantiene una estructura similar: un título específico dedicado al “</w:t>
      </w:r>
      <w:r>
        <w:rPr>
          <w:rFonts w:ascii="Times New Roman" w:hAnsi="Times New Roman"/>
          <w:sz w:val="24"/>
          <w:szCs w:val="24"/>
          <w:lang w:val="es-AR"/>
        </w:rPr>
        <w:t>orden económico”, en el que se incluyen las bases de la intervención y regulación estatal de la economía y de la legislación laboral y de la seguridad social. Se agrega en este caso a este capítulo la consagración de la función social del uso de la propied</w:t>
      </w:r>
      <w:r>
        <w:rPr>
          <w:rFonts w:ascii="Times New Roman" w:hAnsi="Times New Roman"/>
          <w:sz w:val="24"/>
          <w:szCs w:val="24"/>
          <w:lang w:val="es-AR"/>
        </w:rPr>
        <w:t>ad, y la habilitación legal para promover la justa distribución de la propiedad, con igual oportunidad para todos y para reprimir toda forma de abuso del poder económico.  En materia de trabajo se consagra el derecho a la huelga, de acuerdo a la reglamenta</w:t>
      </w:r>
      <w:r>
        <w:rPr>
          <w:rFonts w:ascii="Times New Roman" w:hAnsi="Times New Roman"/>
          <w:sz w:val="24"/>
          <w:szCs w:val="24"/>
          <w:lang w:val="es-AR"/>
        </w:rPr>
        <w:t>ción legal, se elimina el reconocimiento de un único sindicato representativo a favor de un régimen de pluralidad sindical, y desaparece también la mención a la organización corporativa de la economía.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También la Constitución de 1946 dedica un título espec</w:t>
      </w:r>
      <w:r>
        <w:rPr>
          <w:rFonts w:ascii="Times New Roman" w:hAnsi="Times New Roman"/>
          <w:sz w:val="24"/>
          <w:szCs w:val="24"/>
          <w:lang w:val="es-AR"/>
        </w:rPr>
        <w:t>ífico y más sintético a la familia, a la educación y a la cultura, de contenido similar al tratamiento de la materia en las dos constituciones previas: se declaraba la obligatoriedad de la educación primaria, y la gratuidad de la educación primaria oficial</w:t>
      </w:r>
      <w:r>
        <w:rPr>
          <w:rFonts w:ascii="Times New Roman" w:hAnsi="Times New Roman"/>
          <w:sz w:val="24"/>
          <w:szCs w:val="24"/>
          <w:lang w:val="es-AR"/>
        </w:rPr>
        <w:t>, y también de la educación oficial ulterior en aquellos casos de insuficiencia de recursos demostrada.</w:t>
      </w:r>
      <w:r>
        <w:rPr>
          <w:rFonts w:ascii="Times New Roman" w:hAnsi="Times New Roman"/>
          <w:color w:val="000000"/>
          <w:sz w:val="24"/>
          <w:szCs w:val="24"/>
          <w:lang w:val="es-AR"/>
        </w:rPr>
        <w:t xml:space="preserve"> La Constitución disponía también que la Unión debía aplicar anualmente a la educación al menos el diez por ciento de su presupuesto, y las Estados, el D</w:t>
      </w:r>
      <w:r>
        <w:rPr>
          <w:rFonts w:ascii="Times New Roman" w:hAnsi="Times New Roman"/>
          <w:color w:val="000000"/>
          <w:sz w:val="24"/>
          <w:szCs w:val="24"/>
          <w:lang w:val="es-AR"/>
        </w:rPr>
        <w:t>istrito Federal y los Municipios al menos el veinte por ciento.</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En 1936 tanto Colombia como Venezuela adoptan constituciones de corte social. En Colombia, la Constitución de 1936 nace como fruto de la experiencia liberal reformista que, entre 1930 y </w:t>
      </w:r>
      <w:r>
        <w:rPr>
          <w:rFonts w:ascii="Times New Roman" w:hAnsi="Times New Roman"/>
          <w:sz w:val="24"/>
          <w:szCs w:val="24"/>
          <w:lang w:val="es-AR"/>
        </w:rPr>
        <w:lastRenderedPageBreak/>
        <w:t>1946,</w:t>
      </w:r>
      <w:r>
        <w:rPr>
          <w:rFonts w:ascii="Times New Roman" w:hAnsi="Times New Roman"/>
          <w:sz w:val="24"/>
          <w:szCs w:val="24"/>
          <w:lang w:val="es-AR"/>
        </w:rPr>
        <w:t xml:space="preserve"> rompe con la hegemonía política conservadora, en un contexto de creciente protagonismo del naciente movimiento sindical</w:t>
      </w:r>
      <w:r>
        <w:rPr>
          <w:rStyle w:val="Refdenotaalpie"/>
          <w:rFonts w:ascii="Times New Roman" w:hAnsi="Times New Roman"/>
          <w:sz w:val="24"/>
          <w:szCs w:val="24"/>
          <w:lang w:val="es-AR"/>
        </w:rPr>
        <w:footnoteReference w:id="21"/>
      </w:r>
      <w:r>
        <w:rPr>
          <w:rFonts w:ascii="Times New Roman" w:hAnsi="Times New Roman"/>
          <w:sz w:val="24"/>
          <w:szCs w:val="24"/>
          <w:lang w:val="es-AR"/>
        </w:rPr>
        <w:t xml:space="preserve">.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texto constitucional incluye como fundamentación de la institución del poder público la protección de las personas y el asegurami</w:t>
      </w:r>
      <w:r>
        <w:rPr>
          <w:rFonts w:ascii="Times New Roman" w:hAnsi="Times New Roman"/>
          <w:sz w:val="24"/>
          <w:szCs w:val="24"/>
          <w:lang w:val="es-AR"/>
        </w:rPr>
        <w:t>ento del cumplimiento de los deberes sociales del Estado y los particulares. Se considera al trabajo una obligación social, bajo la especial protección del Estado, y se consagra la libertad sindical y el derecho de huelga. Se encomienda al Estado la asiste</w:t>
      </w:r>
      <w:r>
        <w:rPr>
          <w:rFonts w:ascii="Times New Roman" w:hAnsi="Times New Roman"/>
          <w:sz w:val="24"/>
          <w:szCs w:val="24"/>
          <w:lang w:val="es-AR"/>
        </w:rPr>
        <w:t>ncia pública, que debía prestarse a quienes careciendo de medios de subsistencia y derecho para exigirla de otras personas estuvieran físicamente incapacitados para trabajar, de acuerdo a la reglamentación legal.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Se declara que la propiedad genera obligaci</w:t>
      </w:r>
      <w:r>
        <w:rPr>
          <w:rFonts w:ascii="Times New Roman" w:hAnsi="Times New Roman"/>
          <w:sz w:val="24"/>
          <w:szCs w:val="24"/>
          <w:lang w:val="es-AR"/>
        </w:rPr>
        <w:t xml:space="preserve">ones y tienen una función social de la propiedad, y se subordinación del interés privado al interés público o social en caso de conflicto. La Constitución habilita al Estado a intervenir en  la explotación de industrias o empresas públicas y privadas, con </w:t>
      </w:r>
      <w:r>
        <w:rPr>
          <w:rFonts w:ascii="Times New Roman" w:hAnsi="Times New Roman"/>
          <w:sz w:val="24"/>
          <w:szCs w:val="24"/>
          <w:lang w:val="es-AR"/>
        </w:rPr>
        <w:t xml:space="preserve">el fin de racionalizar la producción, distribución y consumo de las riquezas, o de proteger al trabajador.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Venezuela, la Constitución de 1936, que acompaña un período democrático interrumpido por un golpe de estado en 1945, incluía mandatos para el Est</w:t>
      </w:r>
      <w:r>
        <w:rPr>
          <w:rFonts w:ascii="Times New Roman" w:hAnsi="Times New Roman"/>
          <w:sz w:val="24"/>
          <w:szCs w:val="24"/>
          <w:lang w:val="es-AR"/>
        </w:rPr>
        <w:t>ado en materia laboral bajo el título dedicado a los derechos y deberes de los venezolanos, y en el contexto de un elenco mayoritariamente constituido por derechos civiles y políticos. Se encomendaba a la ley disponer “lo necesario para la mayor eficacia y</w:t>
      </w:r>
      <w:r>
        <w:rPr>
          <w:rFonts w:ascii="Times New Roman" w:hAnsi="Times New Roman"/>
          <w:sz w:val="24"/>
          <w:szCs w:val="24"/>
          <w:lang w:val="es-AR"/>
        </w:rPr>
        <w:t xml:space="preserve"> estímulo del trabajo, organizándolo adecuadamente y estableciendo la protección especial que deberá dispensarse a los obreros y trabajadores, para proveer al mejoramiento de su condición física, moral e intelectual, y al incremento de la población”. Con l</w:t>
      </w:r>
      <w:r>
        <w:rPr>
          <w:rFonts w:ascii="Times New Roman" w:hAnsi="Times New Roman"/>
          <w:sz w:val="24"/>
          <w:szCs w:val="24"/>
          <w:lang w:val="es-AR"/>
        </w:rPr>
        <w:t xml:space="preserve">enguaje similar al de la Constitución brasileña de 1934, se encargaba al Estado promover “el amparo de la producción” y establecer “las condiciones del trabajo en la ciudad y en el campo, teniendo en vista la protección social del obrero y del jornalero y </w:t>
      </w:r>
      <w:r>
        <w:rPr>
          <w:rFonts w:ascii="Times New Roman" w:hAnsi="Times New Roman"/>
          <w:sz w:val="24"/>
          <w:szCs w:val="24"/>
          <w:lang w:val="es-AR"/>
        </w:rPr>
        <w:t>los intereses económicos del país”. Se creaba también un Consejo de Economía Nacional, constituido por representantes de la población productora y de la consumidora, del capital y del trabajo, y de las profesiones liberales. En cuanto al contenido de la le</w:t>
      </w:r>
      <w:r>
        <w:rPr>
          <w:rFonts w:ascii="Times New Roman" w:hAnsi="Times New Roman"/>
          <w:sz w:val="24"/>
          <w:szCs w:val="24"/>
          <w:lang w:val="es-AR"/>
        </w:rPr>
        <w:t xml:space="preserve">gislación laboral, debía asegurar el reposo semanal, las vacaciones anuales remuneradas y fomentar la enseñanza técnica de los obreros, sin perjuicio de otros preceptos “que concurran a mejorar las condiciones del obrero o trabajador”. Se promovía también </w:t>
      </w:r>
      <w:r>
        <w:rPr>
          <w:rFonts w:ascii="Times New Roman" w:hAnsi="Times New Roman"/>
          <w:sz w:val="24"/>
          <w:szCs w:val="24"/>
          <w:lang w:val="es-AR"/>
        </w:rPr>
        <w:t>“un régimen de participación de los empleados y trabajadores en los beneficios de las empresas” y el fomento del ahorro de los empleados y trabajadores. También se encomendaba al Estado la reglamentación del trabajo agrícola, el fomento del establecimiento</w:t>
      </w:r>
      <w:r>
        <w:rPr>
          <w:rFonts w:ascii="Times New Roman" w:hAnsi="Times New Roman"/>
          <w:sz w:val="24"/>
          <w:szCs w:val="24"/>
          <w:lang w:val="es-AR"/>
        </w:rPr>
        <w:t xml:space="preserve"> de colonias agrícolas y de la población rural, y la educación rural del trabajador agrícola.</w:t>
      </w:r>
    </w:p>
    <w:p w:rsidR="00000000" w:rsidRDefault="007B5A38">
      <w:pPr>
        <w:jc w:val="both"/>
        <w:rPr>
          <w:rFonts w:ascii="Times New Roman" w:hAnsi="Times New Roman"/>
          <w:sz w:val="24"/>
          <w:szCs w:val="24"/>
          <w:lang w:val="es-AR"/>
        </w:rPr>
      </w:pPr>
      <w:r>
        <w:rPr>
          <w:rFonts w:ascii="Times New Roman" w:hAnsi="Times New Roman"/>
          <w:sz w:val="24"/>
          <w:szCs w:val="24"/>
          <w:lang w:val="es-AR"/>
        </w:rPr>
        <w:lastRenderedPageBreak/>
        <w:t xml:space="preserve">En materia económica, se autorizaba al Estado a establecer restricciones y prohibiciones para la adquisición y transferencia de determinadas clases de propiedad, </w:t>
      </w:r>
      <w:r>
        <w:rPr>
          <w:rFonts w:ascii="Times New Roman" w:hAnsi="Times New Roman"/>
          <w:sz w:val="24"/>
          <w:szCs w:val="24"/>
          <w:lang w:val="es-AR"/>
        </w:rPr>
        <w:t>por razón de interés nacional. Se encargaba a las autoridades favorecer “la conservación y difusión de la mediana y de la pequeña propiedad rural”, y se la habilitaba para “expropiar tierras no explotadas de dominio privado, para dividirlas o para enajenar</w:t>
      </w:r>
      <w:r>
        <w:rPr>
          <w:rFonts w:ascii="Times New Roman" w:hAnsi="Times New Roman"/>
          <w:sz w:val="24"/>
          <w:szCs w:val="24"/>
          <w:lang w:val="es-AR"/>
        </w:rPr>
        <w:t>las”.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Después de declarar la libertad de enseñanza, la Constitución disponía que la educación moral y cívica del niño era obligatoria, que debía inspirarse “en el engrandecimiento nacional y la solidaridad humana”, y que habría “por lo menos, una Escuela e</w:t>
      </w:r>
      <w:r>
        <w:rPr>
          <w:rFonts w:ascii="Times New Roman" w:hAnsi="Times New Roman"/>
          <w:sz w:val="24"/>
          <w:szCs w:val="24"/>
          <w:lang w:val="es-AR"/>
        </w:rPr>
        <w:t>n toda localidad cuya población escolar no sea menor de treinta alumnos”.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Estas disposiciones coexistían con una cláusula que declaraba “contrarias a la independencia, a la forma política y a la paz social de la Nación, las doctrinas comunista y anarquista</w:t>
      </w:r>
      <w:r>
        <w:rPr>
          <w:rFonts w:ascii="Times New Roman" w:hAnsi="Times New Roman"/>
          <w:sz w:val="24"/>
          <w:szCs w:val="24"/>
          <w:lang w:val="es-AR"/>
        </w:rPr>
        <w:t>”, y disponía que “los que las proclamen, propaguen o practiquen serán considerados como traidores a la Patria y castigados conforme a las leyes”.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Durante la década de 1940 la adopción de constituciones de orientación social se consolida en la región. En 1</w:t>
      </w:r>
      <w:r>
        <w:rPr>
          <w:rFonts w:ascii="Times New Roman" w:hAnsi="Times New Roman"/>
          <w:sz w:val="24"/>
          <w:szCs w:val="24"/>
          <w:lang w:val="es-AR"/>
        </w:rPr>
        <w:t>940, Cuba, que experimenta un período de renovación democrática y pluralismo político, adopta una constitución que, siguiendo el modelo brasileño, dedica títulos específicos a la familia y la cultura, y al trabajo y la propiedad, aunque distinguiéndolos de</w:t>
      </w:r>
      <w:r>
        <w:rPr>
          <w:rFonts w:ascii="Times New Roman" w:hAnsi="Times New Roman"/>
          <w:sz w:val="24"/>
          <w:szCs w:val="24"/>
          <w:lang w:val="es-AR"/>
        </w:rPr>
        <w:t>l título consagrado a los derechos fundamentales. En todo caso, la Constitución cubana de 1940 es considerada uno de los ejemplos paradigmáticos del constitucionalismo latinoamericano en materia social, dado el detalle y la minuciosidad del tratamiento del</w:t>
      </w:r>
      <w:r>
        <w:rPr>
          <w:rFonts w:ascii="Times New Roman" w:hAnsi="Times New Roman"/>
          <w:sz w:val="24"/>
          <w:szCs w:val="24"/>
          <w:lang w:val="es-AR"/>
        </w:rPr>
        <w:t xml:space="preserve"> tema y su posterior influencia en la región</w:t>
      </w:r>
      <w:r>
        <w:rPr>
          <w:rStyle w:val="Refdenotaalpie"/>
          <w:rFonts w:ascii="Times New Roman" w:hAnsi="Times New Roman"/>
          <w:sz w:val="24"/>
          <w:szCs w:val="24"/>
          <w:lang w:val="es-AR"/>
        </w:rPr>
        <w:footnoteReference w:id="22"/>
      </w:r>
      <w:r>
        <w:rPr>
          <w:rFonts w:ascii="Times New Roman" w:hAnsi="Times New Roman"/>
          <w:sz w:val="24"/>
          <w:szCs w:val="24"/>
          <w:lang w:val="es-AR"/>
        </w:rPr>
        <w:t xml:space="preserve">.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Bajo el título “De la familia y de la cultura”, la Constitución cubana agrupa disposiciones dedicadas a la protección de la familia, la maternidad y el matrimonio, y a la igualdad de los cónyuges. Se destacan</w:t>
      </w:r>
      <w:r>
        <w:rPr>
          <w:rFonts w:ascii="Times New Roman" w:hAnsi="Times New Roman"/>
          <w:sz w:val="24"/>
          <w:szCs w:val="24"/>
          <w:lang w:val="es-AR"/>
        </w:rPr>
        <w:t xml:space="preserve"> la protección de las uniones libres  – que podían ser equiparadas por los tribunales “por su estabilidad y singularidad, al matrimonio civil” –, la preferencia de las pensiones alimentarias por alimentos a favor de la mujer y de los hijos gozarán de prefe</w:t>
      </w:r>
      <w:r>
        <w:rPr>
          <w:rFonts w:ascii="Times New Roman" w:hAnsi="Times New Roman"/>
          <w:sz w:val="24"/>
          <w:szCs w:val="24"/>
          <w:lang w:val="es-AR"/>
        </w:rPr>
        <w:t xml:space="preserve">rencia respecto a cualquier obligación, ante la que no podía oponerse “la condición de inembargable de ningún sueldo, pensión o ingreso económico de cualquier clase que sea”, y el establecimiento de un derecho de pensión alimentaria a favor de la mujer en </w:t>
      </w:r>
      <w:r>
        <w:rPr>
          <w:rFonts w:ascii="Times New Roman" w:hAnsi="Times New Roman"/>
          <w:sz w:val="24"/>
          <w:szCs w:val="24"/>
          <w:lang w:val="es-AR"/>
        </w:rPr>
        <w:t>caso de divorcio, salvo que tuviera medios justificados de subsistencia o fuera declarada culpable. Se establecía también  la obligación de los padres de “alimentar, asistir, educar e instruir a sus hijos”, y la de los hijos de “respetar y asistir a sus pa</w:t>
      </w:r>
      <w:r>
        <w:rPr>
          <w:rFonts w:ascii="Times New Roman" w:hAnsi="Times New Roman"/>
          <w:sz w:val="24"/>
          <w:szCs w:val="24"/>
          <w:lang w:val="es-AR"/>
        </w:rPr>
        <w:t>dres”. El régimen fiscal, los seguros y la asistencia social debían ajustarse de acuerdo con las normas de protección a la familia establecidas en esta Constitución, y se encomendaba al Estado proteger a la niñez y la juventud contra la explotación y el ab</w:t>
      </w:r>
      <w:r>
        <w:rPr>
          <w:rFonts w:ascii="Times New Roman" w:hAnsi="Times New Roman"/>
          <w:sz w:val="24"/>
          <w:szCs w:val="24"/>
          <w:lang w:val="es-AR"/>
        </w:rPr>
        <w:t>andono moral y material.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lastRenderedPageBreak/>
        <w:t>La regulación constitucional en materia de cultura y educación era particularmente detallada. Se establecía que “la cultura, en todas sus manifestaciones, constituye un interés primordial del Estado”, y se encargaba al Estado regul</w:t>
      </w:r>
      <w:r>
        <w:rPr>
          <w:rFonts w:ascii="Times New Roman" w:hAnsi="Times New Roman"/>
          <w:sz w:val="24"/>
          <w:szCs w:val="24"/>
          <w:lang w:val="es-AR"/>
        </w:rPr>
        <w:t>ar por medio de la Ley la conservación del tesoro cultural de la Nación, su riqueza artística e histórica, y proteger” los monumentos nacionales y lugares notables por su belleza natural o por su reconocido valor artístico o histórico”.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dis</w:t>
      </w:r>
      <w:r>
        <w:rPr>
          <w:rFonts w:ascii="Times New Roman" w:hAnsi="Times New Roman"/>
          <w:sz w:val="24"/>
          <w:szCs w:val="24"/>
          <w:lang w:val="es-AR"/>
        </w:rPr>
        <w:t>ponía el carácter obligatorio de la educación primaria y el carácter gratuito de la educación pre-primaria, primaria, vocacional y secundaria elemental cuando fuera impartida por el Estado, como también del material docente y la institución de becas para e</w:t>
      </w:r>
      <w:r>
        <w:rPr>
          <w:rFonts w:ascii="Times New Roman" w:hAnsi="Times New Roman"/>
          <w:sz w:val="24"/>
          <w:szCs w:val="24"/>
          <w:lang w:val="es-AR"/>
        </w:rPr>
        <w:t>l disfrute de las enseñanzas oficiales no gratuitas para quienes “habiendo acreditado vocación y aptitud sobresalientes, se vieren impedidos, por insuficiencia de recursos, de hacer tales estudios por su cuenta”.  Se encomendaba al Estado mantener “un sist</w:t>
      </w:r>
      <w:r>
        <w:rPr>
          <w:rFonts w:ascii="Times New Roman" w:hAnsi="Times New Roman"/>
          <w:sz w:val="24"/>
          <w:szCs w:val="24"/>
          <w:lang w:val="es-AR"/>
        </w:rPr>
        <w:t>ema de escuelas para adultos, dedicadas particularmente a la eliminación y prevención del analfabetismo; escuelas rurales predominantemente prácticas, organizadas con vista de los intereses de las pequeñas comunidades agrícolas, marítimas o de cualquier cl</w:t>
      </w:r>
      <w:r>
        <w:rPr>
          <w:rFonts w:ascii="Times New Roman" w:hAnsi="Times New Roman"/>
          <w:sz w:val="24"/>
          <w:szCs w:val="24"/>
          <w:lang w:val="es-AR"/>
        </w:rPr>
        <w:t>ase, y escuelas de artes y oficios y de técnica y agrícola, industrial y comercial, orientadas de modo que respondan a las necesidades de la economía nacional”, todas de carácter gratuito. Se establecía el carácter laico de la educación impartida por el Es</w:t>
      </w:r>
      <w:r>
        <w:rPr>
          <w:rFonts w:ascii="Times New Roman" w:hAnsi="Times New Roman"/>
          <w:sz w:val="24"/>
          <w:szCs w:val="24"/>
          <w:lang w:val="es-AR"/>
        </w:rPr>
        <w:t>tado. Se abordaba también la formación de los docentes de las escuelas públicas, la articulación y continuidad de los niveles educativos y los fines de la educación, incluyendo la obligatoriedad de la educación cívica y el estudio de la constitución. Tampo</w:t>
      </w:r>
      <w:r>
        <w:rPr>
          <w:rFonts w:ascii="Times New Roman" w:hAnsi="Times New Roman"/>
          <w:sz w:val="24"/>
          <w:szCs w:val="24"/>
          <w:lang w:val="es-AR"/>
        </w:rPr>
        <w:t>co faltaban garantías institucionales: se fijaba la obligación estatal sostener presupuestariamente la enseñanza pública, se garantizaba un salario mínimo docente, se otorgaba al personal docente oficial los derechos y deberes de los funcionarios públicos,</w:t>
      </w:r>
      <w:r>
        <w:rPr>
          <w:rFonts w:ascii="Times New Roman" w:hAnsi="Times New Roman"/>
          <w:sz w:val="24"/>
          <w:szCs w:val="24"/>
          <w:lang w:val="es-AR"/>
        </w:rPr>
        <w:t xml:space="preserve"> estableciéndose salvaguardas en materia de designación, ascenso, traslado y separación de los docentes y personal escolar. Se establecía la autonomía de la universidad pública.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No menos puntillosa era la disciplina constitucional del trabajo, al que se de</w:t>
      </w:r>
      <w:r>
        <w:rPr>
          <w:rFonts w:ascii="Times New Roman" w:hAnsi="Times New Roman"/>
          <w:sz w:val="24"/>
          <w:szCs w:val="24"/>
          <w:lang w:val="es-AR"/>
        </w:rPr>
        <w:t>dicaban veintiséis artículos. El trabajo se consideraba “un derecho inalienable del individuo”, encomendándose al Estado emplear “los recursos que estén a su alcance para proporcionar ocupación a todo el que carezca de ella y asegurará a todo trabajador, m</w:t>
      </w:r>
      <w:r>
        <w:rPr>
          <w:rFonts w:ascii="Times New Roman" w:hAnsi="Times New Roman"/>
          <w:sz w:val="24"/>
          <w:szCs w:val="24"/>
          <w:lang w:val="es-AR"/>
        </w:rPr>
        <w:t>anual o intelectual, las condiciones económicas necesarias a una existencia digna”. Entre las disposiciones pertinentes se trataban la fijación del salario mínimo inembargable, el principio de igual remuneración por igual tarea, la prohibición de descuento</w:t>
      </w:r>
      <w:r>
        <w:rPr>
          <w:rFonts w:ascii="Times New Roman" w:hAnsi="Times New Roman"/>
          <w:sz w:val="24"/>
          <w:szCs w:val="24"/>
          <w:lang w:val="es-AR"/>
        </w:rPr>
        <w:t>s sobre el salario y de pago por medios que pretendieran sustituir la moneda legal, la limitación de la jornada  y de la semana de trabajo, los descansos anuales retribuidos, la prohibición del trabajo de menores de catorce años, la protección de la matern</w:t>
      </w:r>
      <w:r>
        <w:rPr>
          <w:rFonts w:ascii="Times New Roman" w:hAnsi="Times New Roman"/>
          <w:sz w:val="24"/>
          <w:szCs w:val="24"/>
          <w:lang w:val="es-AR"/>
        </w:rPr>
        <w:t>idad de obreras y empleadas, con licencia por maternidad paga y concesión de períodos de descanso para asegurar la lactancia y la protección contra el despido arbitrario.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En materia de derechos laborales colectivos, se establecía el derecho de sindicación </w:t>
      </w:r>
      <w:r>
        <w:rPr>
          <w:rFonts w:ascii="Times New Roman" w:hAnsi="Times New Roman"/>
          <w:sz w:val="24"/>
          <w:szCs w:val="24"/>
          <w:lang w:val="es-AR"/>
        </w:rPr>
        <w:t>a los patronos, empleados privados y obreros, para los fines exclusivos de su actividad económico-social, con garantías en materia de reconocimiento y de disolución de los sindicatos;  el derecho de los trabajadores a la huelga y el de los patrones al paro</w:t>
      </w:r>
      <w:r>
        <w:rPr>
          <w:rFonts w:ascii="Times New Roman" w:hAnsi="Times New Roman"/>
          <w:sz w:val="24"/>
          <w:szCs w:val="24"/>
          <w:lang w:val="es-AR"/>
        </w:rPr>
        <w:t xml:space="preserve">, conforme a la regulación establecida por la ley, el sistema de contratos colectivos de trabajo, de cumplimiento para patronos y obreros. Se declaraban nulas las estipulaciones que implicaran renuncia, disminución, </w:t>
      </w:r>
      <w:r>
        <w:rPr>
          <w:rFonts w:ascii="Times New Roman" w:hAnsi="Times New Roman"/>
          <w:sz w:val="24"/>
          <w:szCs w:val="24"/>
          <w:lang w:val="es-AR"/>
        </w:rPr>
        <w:lastRenderedPageBreak/>
        <w:t>adulteración o dejación de algún derecho</w:t>
      </w:r>
      <w:r>
        <w:rPr>
          <w:rFonts w:ascii="Times New Roman" w:hAnsi="Times New Roman"/>
          <w:sz w:val="24"/>
          <w:szCs w:val="24"/>
          <w:lang w:val="es-AR"/>
        </w:rPr>
        <w:t xml:space="preserve"> reconocido a favor del obrero en la Constitución o en la ley.</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incluía además una cláusula pionera en materia de prohibición de discriminación en el empleo, encomendado al Estado que en la distribución de oportunidades de trabajo en la indu</w:t>
      </w:r>
      <w:r>
        <w:rPr>
          <w:rFonts w:ascii="Times New Roman" w:hAnsi="Times New Roman"/>
          <w:sz w:val="24"/>
          <w:szCs w:val="24"/>
          <w:lang w:val="es-AR"/>
        </w:rPr>
        <w:t>stria y en el comercio no prevalecieran prácticas discriminatorias de ninguna clase por motivos de raza o color. La constitución habilitaba también al Estado a la inmigración, prohibiendo toda migración “que tienda a envilecer las condiciones del trabajo”.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materia de seguridad social, se declaraba a los seguros sociales como derecho irrenunciable en casos de invalidez, vejez, desempleo y demás contingencias del trabajo, así como el  derecho de jubilación por antigüedad y el de pensión por causa de muerte</w:t>
      </w:r>
      <w:r>
        <w:rPr>
          <w:rFonts w:ascii="Times New Roman" w:hAnsi="Times New Roman"/>
          <w:sz w:val="24"/>
          <w:szCs w:val="24"/>
          <w:lang w:val="es-AR"/>
        </w:rPr>
        <w:t>. La administración de los seguros sociales se ponía a cargo de instituciones con participación del Estado, de trabajadores y empleadores. Se establecía la obligatoriedad del seguro por accidentes de trabajo y enfermedades profesionales, a cargo de los emp</w:t>
      </w:r>
      <w:r>
        <w:rPr>
          <w:rFonts w:ascii="Times New Roman" w:hAnsi="Times New Roman"/>
          <w:sz w:val="24"/>
          <w:szCs w:val="24"/>
          <w:lang w:val="es-AR"/>
        </w:rPr>
        <w:t>leadores y bajo la fiscalización del Estado.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Se establecía la obligación del empleador de cumplir las leyes sociales, aunque contratara por intermediario. Las empresas que emplearan obreros fuera de los centros de población tenían la obligación, reglamenta</w:t>
      </w:r>
      <w:r>
        <w:rPr>
          <w:rFonts w:ascii="Times New Roman" w:hAnsi="Times New Roman"/>
          <w:sz w:val="24"/>
          <w:szCs w:val="24"/>
          <w:lang w:val="es-AR"/>
        </w:rPr>
        <w:t>da por ley, de proporcionar a los trabajadores habitaciones adecuadas, escuelas, enfermerías, y demás servicios y atenciones propicias al bienestar físico y moral del trabajador y su familia. De igual modo, se disponía la necesidad de regular la forma en q</w:t>
      </w:r>
      <w:r>
        <w:rPr>
          <w:rFonts w:ascii="Times New Roman" w:hAnsi="Times New Roman"/>
          <w:sz w:val="24"/>
          <w:szCs w:val="24"/>
          <w:lang w:val="es-AR"/>
        </w:rPr>
        <w:t>ue se realizara el traslado de fábricas y talleres, para evitar que el envilecimiento de las condiciones de trabajo. La ley fomentaría también la creación de viviendas baratas para obreros.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Se disponía también que los conflictos entre capital y el trabajo </w:t>
      </w:r>
      <w:r>
        <w:rPr>
          <w:rFonts w:ascii="Times New Roman" w:hAnsi="Times New Roman"/>
          <w:sz w:val="24"/>
          <w:szCs w:val="24"/>
          <w:lang w:val="es-AR"/>
        </w:rPr>
        <w:t xml:space="preserve">se someterían a comisiones de conciliación integradas por representaciones paritarias de patronos y obreros. La reglamentación condiciones que debían reunir los talleres, fábricas y locales de trabajo y la vigilancia e inspección de las empresas se ponían </w:t>
      </w:r>
      <w:r>
        <w:rPr>
          <w:rFonts w:ascii="Times New Roman" w:hAnsi="Times New Roman"/>
          <w:sz w:val="24"/>
          <w:szCs w:val="24"/>
          <w:lang w:val="es-AR"/>
        </w:rPr>
        <w:t>a cargo del Estado.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Por último, la Constitución incluía una original cláusula de derechos implícitos en materia social, según la cual “(l)a enumeración de los derechos y beneficios a que esta Sección se refiere no excluye otros que se deriven del principio</w:t>
      </w:r>
      <w:r>
        <w:rPr>
          <w:rFonts w:ascii="Times New Roman" w:hAnsi="Times New Roman"/>
          <w:sz w:val="24"/>
          <w:szCs w:val="24"/>
          <w:lang w:val="es-AR"/>
        </w:rPr>
        <w:t xml:space="preserve"> de la justicia social y serán aplicables por igual a todos los factores concurrentes al proceso de la producción”.</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materia de propiedad, la constitución subordinaba su uso a su función social, declaraba la propiedad estatal del subsuelo, concedía al Es</w:t>
      </w:r>
      <w:r>
        <w:rPr>
          <w:rFonts w:ascii="Times New Roman" w:hAnsi="Times New Roman"/>
          <w:sz w:val="24"/>
          <w:szCs w:val="24"/>
          <w:lang w:val="es-AR"/>
        </w:rPr>
        <w:t>tado facultades de intervención en el mercado inmobiliario y de expropiación, proscribía el latifundio y limitaba la concentración de propiedad en manos de personas y compañías extranjeras, protegía las fincas rurales habitadas y cultivadas y protegía a lo</w:t>
      </w:r>
      <w:r>
        <w:rPr>
          <w:rFonts w:ascii="Times New Roman" w:hAnsi="Times New Roman"/>
          <w:sz w:val="24"/>
          <w:szCs w:val="24"/>
          <w:lang w:val="es-AR"/>
        </w:rPr>
        <w:t>s autores e inventores. La Constitución obligaba al Estado a realizar al menos cada diez años censos de población que reflejaran las actividades económicas y sociales del país, así como publicar regularmente un Anuario Estadístico.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cubana d</w:t>
      </w:r>
      <w:r>
        <w:rPr>
          <w:rFonts w:ascii="Times New Roman" w:hAnsi="Times New Roman"/>
          <w:sz w:val="24"/>
          <w:szCs w:val="24"/>
          <w:lang w:val="es-AR"/>
        </w:rPr>
        <w:t xml:space="preserve">e 1940 tuvo importante influencia sobre el texto de adoptadas en los siguientes años en América Latina. Gran parte de su texto – en particular, la parte dogmática – se mantuvo en la llamada Ley Fundamental de 1959, adoptada como resultado de la Revolución </w:t>
      </w:r>
      <w:r>
        <w:rPr>
          <w:rFonts w:ascii="Times New Roman" w:hAnsi="Times New Roman"/>
          <w:sz w:val="24"/>
          <w:szCs w:val="24"/>
          <w:lang w:val="es-AR"/>
        </w:rPr>
        <w:t>Cubana.</w:t>
      </w:r>
    </w:p>
    <w:p w:rsidR="00000000" w:rsidRDefault="007B5A38">
      <w:pPr>
        <w:jc w:val="both"/>
        <w:rPr>
          <w:rFonts w:ascii="Times New Roman" w:hAnsi="Times New Roman"/>
          <w:sz w:val="24"/>
          <w:szCs w:val="24"/>
          <w:lang w:val="es-ES"/>
        </w:rPr>
      </w:pPr>
      <w:r>
        <w:rPr>
          <w:rFonts w:ascii="Times New Roman" w:hAnsi="Times New Roman"/>
          <w:sz w:val="24"/>
          <w:szCs w:val="24"/>
          <w:lang w:val="es-AR"/>
        </w:rPr>
        <w:lastRenderedPageBreak/>
        <w:t>Paraguay también adoptó, en 1940, una constitución que, de manera más concisa, incorporaba cláusulas en materia social bajo el título “Declaraciones Generales”, en línea con otros ejemplos ya mencionados. La Constitución de 1940 disponía el carácte</w:t>
      </w:r>
      <w:r>
        <w:rPr>
          <w:rFonts w:ascii="Times New Roman" w:hAnsi="Times New Roman"/>
          <w:sz w:val="24"/>
          <w:szCs w:val="24"/>
          <w:lang w:val="es-AR"/>
        </w:rPr>
        <w:t>r gratuito y obligatorio de la educación primaria; encomendaba al Estado fomentar la enseñanza secundaria, profesional y universitaria, y el “cuidado de la salud de la población y la asistencia social, así como la educación moral, espiritual y física de la</w:t>
      </w:r>
      <w:r>
        <w:rPr>
          <w:rFonts w:ascii="Times New Roman" w:hAnsi="Times New Roman"/>
          <w:sz w:val="24"/>
          <w:szCs w:val="24"/>
          <w:lang w:val="es-AR"/>
        </w:rPr>
        <w:t xml:space="preserve"> juventud”. Una sucinta disposición en materia laboral colocaba bajo la vigilancia y fiscalización del Estado el régimen de los contratos de trabajo, los seguros sociales y las condiciones de seguridad e higiene de los establecimientos, “para asegurar a to</w:t>
      </w:r>
      <w:r>
        <w:rPr>
          <w:rFonts w:ascii="Times New Roman" w:hAnsi="Times New Roman"/>
          <w:sz w:val="24"/>
          <w:szCs w:val="24"/>
          <w:lang w:val="es-AR"/>
        </w:rPr>
        <w:t xml:space="preserve">do trabajador un nivel de vida compatible con la dignidad humana”. También se habilitaba la participación del Estado en la economía: correspondía al Estado regular la vida económica nacional y combatir las concertaciones empresarias que distorsionaran los </w:t>
      </w:r>
      <w:r>
        <w:rPr>
          <w:rFonts w:ascii="Times New Roman" w:hAnsi="Times New Roman"/>
          <w:sz w:val="24"/>
          <w:szCs w:val="24"/>
          <w:lang w:val="es-AR"/>
        </w:rPr>
        <w:t xml:space="preserve">precios. El Estado podía nacionalizar los servicios públicos y monopolizar la producción, circulación y venta de artículos de primera necesidad. Bajo el capítulo </w:t>
      </w:r>
      <w:r>
        <w:rPr>
          <w:rFonts w:ascii="Times New Roman" w:hAnsi="Times New Roman"/>
          <w:sz w:val="24"/>
          <w:szCs w:val="24"/>
          <w:lang w:val="es-ES"/>
        </w:rPr>
        <w:t>de “Derechos, obligaciones y garantías” se establecía la función social de la propiedad privad</w:t>
      </w:r>
      <w:r>
        <w:rPr>
          <w:rFonts w:ascii="Times New Roman" w:hAnsi="Times New Roman"/>
          <w:sz w:val="24"/>
          <w:szCs w:val="24"/>
          <w:lang w:val="es-ES"/>
        </w:rPr>
        <w:t>a, la prohibición del latifundio, la obligación de trabajar y se declaraba que “todo hogar paraguayo debe asentarse sobre un pedazo de tierra propia”.</w:t>
      </w:r>
    </w:p>
    <w:p w:rsidR="00000000" w:rsidRDefault="007B5A38">
      <w:pPr>
        <w:jc w:val="both"/>
        <w:rPr>
          <w:rFonts w:ascii="Times New Roman" w:hAnsi="Times New Roman"/>
          <w:sz w:val="24"/>
          <w:szCs w:val="24"/>
          <w:lang w:val="es-ES"/>
        </w:rPr>
      </w:pPr>
      <w:r>
        <w:rPr>
          <w:rFonts w:ascii="Times New Roman" w:hAnsi="Times New Roman"/>
          <w:sz w:val="24"/>
          <w:szCs w:val="24"/>
          <w:lang w:val="es-ES"/>
        </w:rPr>
        <w:t>En Panamá, país que tendrá una destacada actuación en pos de la inclusión de derechos sociales en la Decl</w:t>
      </w:r>
      <w:r>
        <w:rPr>
          <w:rFonts w:ascii="Times New Roman" w:hAnsi="Times New Roman"/>
          <w:sz w:val="24"/>
          <w:szCs w:val="24"/>
          <w:lang w:val="es-ES"/>
        </w:rPr>
        <w:t>aración Universal de Derechos Humanos, la influencia del constitucionalismo social se plasma en la Constitución de 1941 – que sin embargo ha pasado también a la historia por incluir cláusulas racistas</w:t>
      </w:r>
      <w:r>
        <w:rPr>
          <w:rStyle w:val="Refdenotaalpie"/>
          <w:rFonts w:ascii="Times New Roman" w:hAnsi="Times New Roman"/>
          <w:sz w:val="24"/>
          <w:szCs w:val="24"/>
          <w:lang w:val="es-ES"/>
        </w:rPr>
        <w:footnoteReference w:id="23"/>
      </w:r>
      <w:r>
        <w:rPr>
          <w:rFonts w:ascii="Times New Roman" w:hAnsi="Times New Roman"/>
          <w:sz w:val="24"/>
          <w:szCs w:val="24"/>
          <w:lang w:val="es-ES"/>
        </w:rPr>
        <w:t>. La Constitución, influida por la Constitución colombi</w:t>
      </w:r>
      <w:r>
        <w:rPr>
          <w:rFonts w:ascii="Times New Roman" w:hAnsi="Times New Roman"/>
          <w:sz w:val="24"/>
          <w:szCs w:val="24"/>
          <w:lang w:val="es-ES"/>
        </w:rPr>
        <w:t>ana de 1936, incluía un título denominado “Derechos y deberes individuales y sociales”, bajo el cual se establecía la función social de la propiedad y limitaciones a la libertad de contratación, la protección de la familia, de la maternidad y de la infanci</w:t>
      </w:r>
      <w:r>
        <w:rPr>
          <w:rFonts w:ascii="Times New Roman" w:hAnsi="Times New Roman"/>
          <w:sz w:val="24"/>
          <w:szCs w:val="24"/>
          <w:lang w:val="es-ES"/>
        </w:rPr>
        <w:t>a, el fomento económico y social de la familia y la posibilidad de “organizar el patrimonio familiar de las clases pobres obreras y campesinas”, de modo de hacerlo inembargable, la obligación de trabajar y su protección especial por el Estado, la habilitac</w:t>
      </w:r>
      <w:r>
        <w:rPr>
          <w:rFonts w:ascii="Times New Roman" w:hAnsi="Times New Roman"/>
          <w:sz w:val="24"/>
          <w:szCs w:val="24"/>
          <w:lang w:val="es-ES"/>
        </w:rPr>
        <w:t xml:space="preserve">ión del Estado para regular por ley las relaciones entre capital y trabajo “a fin de obtener una mejor justicia social en forma que (…) se asegure al trabajador un mínimum de condiciones necesarias para la vida” y el mandato para el Estado de velar porque </w:t>
      </w:r>
      <w:r>
        <w:rPr>
          <w:rFonts w:ascii="Times New Roman" w:hAnsi="Times New Roman"/>
          <w:sz w:val="24"/>
          <w:szCs w:val="24"/>
          <w:lang w:val="es-ES"/>
        </w:rPr>
        <w:t>el pequeño productor independiente pueda obtener de su trabajo o industria lo suficiente para sus necesidades y por el bienestar y el progreso de las clases campesinas y obreras. Se reconocía el derecho de huelga, se colocaba bajo el deber del Estado la as</w:t>
      </w:r>
      <w:r>
        <w:rPr>
          <w:rFonts w:ascii="Times New Roman" w:hAnsi="Times New Roman"/>
          <w:sz w:val="24"/>
          <w:szCs w:val="24"/>
          <w:lang w:val="es-ES"/>
        </w:rPr>
        <w:t>istencia social, se declaraba a la educación como “deber esencial del Estado”, y de disponía la obligatoriedad de la educación primaria y la gratuidad de la educación oficial primaria, normal, vocacional y secundaria. El Estado asumía también la obligación</w:t>
      </w:r>
      <w:r>
        <w:rPr>
          <w:rFonts w:ascii="Times New Roman" w:hAnsi="Times New Roman"/>
          <w:sz w:val="24"/>
          <w:szCs w:val="24"/>
          <w:lang w:val="es-ES"/>
        </w:rPr>
        <w:t xml:space="preserve"> de legislar para facilitar a los panameños económicamente necesitados el acceso a todos los grados de enseñanza, sobre la base de su aptitud y vocación.</w:t>
      </w:r>
    </w:p>
    <w:p w:rsidR="00000000" w:rsidRDefault="007B5A38">
      <w:pPr>
        <w:jc w:val="both"/>
        <w:rPr>
          <w:rFonts w:ascii="Times New Roman" w:hAnsi="Times New Roman"/>
          <w:sz w:val="24"/>
          <w:szCs w:val="24"/>
          <w:lang w:val="es-ES"/>
        </w:rPr>
      </w:pPr>
      <w:r>
        <w:rPr>
          <w:rFonts w:ascii="Times New Roman" w:hAnsi="Times New Roman"/>
          <w:sz w:val="24"/>
          <w:szCs w:val="24"/>
          <w:lang w:val="es-ES"/>
        </w:rPr>
        <w:lastRenderedPageBreak/>
        <w:t>Esta tendencia se profundizó con la adopción de la Constitución de 1946, que subdivide el título que v</w:t>
      </w:r>
      <w:r>
        <w:rPr>
          <w:rFonts w:ascii="Times New Roman" w:hAnsi="Times New Roman"/>
          <w:sz w:val="24"/>
          <w:szCs w:val="24"/>
          <w:lang w:val="es-ES"/>
        </w:rPr>
        <w:t>ersa sobre “Derechos y deberes individuales y sociales” en capítulos, entre los que se destacan los dedicados a  “la familia”, “el trabajo”, “la cultura nacional”, “salud pública y asistencia social” y “colectividades indígenas y campesinas”.  La Constituc</w:t>
      </w:r>
      <w:r>
        <w:rPr>
          <w:rFonts w:ascii="Times New Roman" w:hAnsi="Times New Roman"/>
          <w:sz w:val="24"/>
          <w:szCs w:val="24"/>
          <w:lang w:val="es-ES"/>
        </w:rPr>
        <w:t>ión de 1946, inspirada en la Constitución cubana de 1940, contiene un nivel de detalle llamativo en materia social, y fue pionera en temas de salud y de derechos de las colectividades indígenas y campesinas. Se establece como función esencial del Estado ve</w:t>
      </w:r>
      <w:r>
        <w:rPr>
          <w:rFonts w:ascii="Times New Roman" w:hAnsi="Times New Roman"/>
          <w:sz w:val="24"/>
          <w:szCs w:val="24"/>
          <w:lang w:val="es-ES"/>
        </w:rPr>
        <w:t xml:space="preserve">lar por la salud, y se declara “el derecho del individuo a la protección, conservación y restitución de su salud, y la obligación de conservarla”. Entre las medidas a adoptar por el Estado para cumplir este cometido, se enumeraban: combatir, por medio del </w:t>
      </w:r>
      <w:r>
        <w:rPr>
          <w:rFonts w:ascii="Times New Roman" w:hAnsi="Times New Roman"/>
          <w:sz w:val="24"/>
          <w:szCs w:val="24"/>
          <w:lang w:val="es-ES"/>
        </w:rPr>
        <w:t>tratamiento individual y el saneamiento del ambiente, las enfermedades transmisibles; proteger la maternidad y reducir la mortalidad infantil por medio de la asistencia médica y la nutrición adecuada; complementar la alimentación de los alumnos necesitados</w:t>
      </w:r>
      <w:r>
        <w:rPr>
          <w:rFonts w:ascii="Times New Roman" w:hAnsi="Times New Roman"/>
          <w:sz w:val="24"/>
          <w:szCs w:val="24"/>
          <w:lang w:val="es-ES"/>
        </w:rPr>
        <w:t xml:space="preserve"> y proporcionar a la niñez escolar servicio de vigilancia médica; establecer, de acuerdo con las necesidades de cada región, hospitales, clínicas dentales y dispensarios, en los cuales se presten servicios y se suministren medicamentos gratuitos a quienes </w:t>
      </w:r>
      <w:r>
        <w:rPr>
          <w:rFonts w:ascii="Times New Roman" w:hAnsi="Times New Roman"/>
          <w:sz w:val="24"/>
          <w:szCs w:val="24"/>
          <w:lang w:val="es-ES"/>
        </w:rPr>
        <w:t>carezcan de recursos pecuniarios, y divulgar sistemáticamente los principios de alimentación científica, de higiene personal y de  sanidad del hogar. En materia de derechos de las comunidades campesinas e indígenas, se reconocía su derecho de acceder a tie</w:t>
      </w:r>
      <w:r>
        <w:rPr>
          <w:rFonts w:ascii="Times New Roman" w:hAnsi="Times New Roman"/>
          <w:sz w:val="24"/>
          <w:szCs w:val="24"/>
          <w:lang w:val="es-ES"/>
        </w:rPr>
        <w:t xml:space="preserve">rras, crédito, mercados y transporte, el fomento de la agricultura, la industria rural y las artes regionales, y el respeto por los valores autóctonos de la cultura indígena,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También Costa Rica adoptó en 1943 una constitución de orientación social, en el </w:t>
      </w:r>
      <w:r>
        <w:rPr>
          <w:rFonts w:ascii="Times New Roman" w:hAnsi="Times New Roman"/>
          <w:sz w:val="24"/>
          <w:szCs w:val="24"/>
          <w:lang w:val="es-AR"/>
        </w:rPr>
        <w:t xml:space="preserve">marco de un período reformista en el que se creó la Caja Costarricense de Seguro Social y se aprobó el Código del Trabajo. La constitución de 1943 incorporaba una sección denominada “Garantías sociales”, y consagraba la función social de la propiedad. Uno </w:t>
      </w:r>
      <w:r>
        <w:rPr>
          <w:rFonts w:ascii="Times New Roman" w:hAnsi="Times New Roman"/>
          <w:sz w:val="24"/>
          <w:szCs w:val="24"/>
          <w:lang w:val="es-AR"/>
        </w:rPr>
        <w:t>de los autores intelectuales de la reforma, Óscar Barahona Streber, justificaba del siguiente modo la inclusión del nuevo título en la constitución:</w:t>
      </w:r>
    </w:p>
    <w:p w:rsidR="00000000" w:rsidRDefault="007B5A38">
      <w:pPr>
        <w:rPr>
          <w:rFonts w:ascii="Times New Roman" w:hAnsi="Times New Roman"/>
          <w:iCs/>
          <w:sz w:val="24"/>
          <w:szCs w:val="24"/>
          <w:lang w:val="es-AR"/>
        </w:rPr>
      </w:pPr>
      <w:r>
        <w:rPr>
          <w:rFonts w:ascii="Times New Roman" w:hAnsi="Times New Roman"/>
          <w:iCs/>
          <w:sz w:val="24"/>
          <w:szCs w:val="24"/>
          <w:lang w:val="es-AR"/>
        </w:rPr>
        <w:t>“(S)i en verdad las constituciones proclaman la igualdad de todos los hombres ante la ley, no es menos cier</w:t>
      </w:r>
      <w:r>
        <w:rPr>
          <w:rFonts w:ascii="Times New Roman" w:hAnsi="Times New Roman"/>
          <w:iCs/>
          <w:sz w:val="24"/>
          <w:szCs w:val="24"/>
          <w:lang w:val="es-AR"/>
        </w:rPr>
        <w:t xml:space="preserve">to que esta igualdad es teórica mientras haya desmedida riqueza -sinónimo de poderío- acumulada en unas pocas manos. Por ello ha surgido, como reacción contra el excesivo privilegio de quienes todo lo tienen y como única manera de mantener el equilibrio y </w:t>
      </w:r>
      <w:r>
        <w:rPr>
          <w:rFonts w:ascii="Times New Roman" w:hAnsi="Times New Roman"/>
          <w:iCs/>
          <w:sz w:val="24"/>
          <w:szCs w:val="24"/>
          <w:lang w:val="es-AR"/>
        </w:rPr>
        <w:t>la tranquilidad entre las distintas clases sociales, el novísimo concepto jurídico de las GARANTIAS SOCIALES que no quieren -como las individuales- proteger a los ciudadanos frente a los abusos del Estado, sino que buscan el amparo de los grandes núcleos h</w:t>
      </w:r>
      <w:r>
        <w:rPr>
          <w:rFonts w:ascii="Times New Roman" w:hAnsi="Times New Roman"/>
          <w:iCs/>
          <w:sz w:val="24"/>
          <w:szCs w:val="24"/>
          <w:lang w:val="es-AR"/>
        </w:rPr>
        <w:t>umanos, de las grandes masas trabajadoras, frente a los excesos que pueden cometer las minorías adineradas”</w:t>
      </w:r>
      <w:r>
        <w:rPr>
          <w:rStyle w:val="Refdenotaalpie"/>
          <w:rFonts w:ascii="Times New Roman" w:hAnsi="Times New Roman"/>
          <w:iCs/>
          <w:sz w:val="24"/>
          <w:szCs w:val="24"/>
          <w:lang w:val="es-AR"/>
        </w:rPr>
        <w:footnoteReference w:id="24"/>
      </w:r>
      <w:r>
        <w:rPr>
          <w:rFonts w:ascii="Times New Roman" w:hAnsi="Times New Roman"/>
          <w:iCs/>
          <w:sz w:val="24"/>
          <w:szCs w:val="24"/>
          <w:lang w:val="es-AR"/>
        </w:rPr>
        <w:t>.</w:t>
      </w:r>
    </w:p>
    <w:p w:rsidR="00000000" w:rsidRDefault="007B5A38">
      <w:pPr>
        <w:rPr>
          <w:rFonts w:ascii="Times New Roman" w:hAnsi="Times New Roman"/>
          <w:iCs/>
          <w:sz w:val="24"/>
          <w:szCs w:val="24"/>
          <w:lang w:val="es-AR"/>
        </w:rPr>
      </w:pPr>
      <w:r>
        <w:rPr>
          <w:rFonts w:ascii="Times New Roman" w:hAnsi="Times New Roman"/>
          <w:iCs/>
          <w:sz w:val="24"/>
          <w:szCs w:val="24"/>
          <w:lang w:val="es-AR"/>
        </w:rPr>
        <w:t>La sección dedicada a las Garantías Sociales estaba compuesta por quince artículos. Se encomendaba al Estado la protección de la familia, de la ma</w:t>
      </w:r>
      <w:r>
        <w:rPr>
          <w:rFonts w:ascii="Times New Roman" w:hAnsi="Times New Roman"/>
          <w:iCs/>
          <w:sz w:val="24"/>
          <w:szCs w:val="24"/>
          <w:lang w:val="es-AR"/>
        </w:rPr>
        <w:t xml:space="preserve">ternidad, de la niñez, de los ancianos y de los enfermos desvalidos y la protección del trabajo, se reconocían derechos </w:t>
      </w:r>
      <w:r>
        <w:rPr>
          <w:rFonts w:ascii="Times New Roman" w:hAnsi="Times New Roman"/>
          <w:iCs/>
          <w:sz w:val="24"/>
          <w:szCs w:val="24"/>
          <w:lang w:val="es-AR"/>
        </w:rPr>
        <w:lastRenderedPageBreak/>
        <w:t>laborales individuales y colectivos, se creaban una justicia laboral y se consagraba el establecimiento de seguros sociales sostenidos c</w:t>
      </w:r>
      <w:r>
        <w:rPr>
          <w:rFonts w:ascii="Times New Roman" w:hAnsi="Times New Roman"/>
          <w:iCs/>
          <w:sz w:val="24"/>
          <w:szCs w:val="24"/>
          <w:lang w:val="es-AR"/>
        </w:rPr>
        <w:t>on contribuciones obligatorios del Estado, de los empleadores y de los trabajadores, “a fin de proteger a éstos contra los riesgos de enfermedad, invalidez, maternidad, vejez, muerte y demás contingencias que la ley determine” y la constitucionalización de</w:t>
      </w:r>
      <w:r>
        <w:rPr>
          <w:rFonts w:ascii="Times New Roman" w:hAnsi="Times New Roman"/>
          <w:iCs/>
          <w:sz w:val="24"/>
          <w:szCs w:val="24"/>
          <w:lang w:val="es-AR"/>
        </w:rPr>
        <w:t xml:space="preserve"> la Caja Costarricense de Seguro Social.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Luego de una guerra civil acaecida en 1948, la constitución fue reformada en 1949. La nueva constitución pasó a la fama por haber abolido el ejército, y por haber acentuado su carácter social a través de títulos ded</w:t>
      </w:r>
      <w:r>
        <w:rPr>
          <w:rFonts w:ascii="Times New Roman" w:hAnsi="Times New Roman"/>
          <w:sz w:val="24"/>
          <w:szCs w:val="24"/>
          <w:lang w:val="es-AR"/>
        </w:rPr>
        <w:t>icados a los “Derechos y garantías sociales”, que reitera en gran medida la sección de “Garantías Sociales” de su predecesora – incluyendo la protección de la familia, de la madre y del niño, derechos laborales individuales y colectivos, la facultad estata</w:t>
      </w:r>
      <w:r>
        <w:rPr>
          <w:rFonts w:ascii="Times New Roman" w:hAnsi="Times New Roman"/>
          <w:sz w:val="24"/>
          <w:szCs w:val="24"/>
          <w:lang w:val="es-AR"/>
        </w:rPr>
        <w:t>l de regular los contratos de aparcería rural con fines sociales y la obligatoriedad de los seguros sociales – y a la “Educación y la cultura” – incluyendo el derecho a la educación, el deber estatal de asistir a los escolares indigentes, la consagración d</w:t>
      </w:r>
      <w:r>
        <w:rPr>
          <w:rFonts w:ascii="Times New Roman" w:hAnsi="Times New Roman"/>
          <w:sz w:val="24"/>
          <w:szCs w:val="24"/>
          <w:lang w:val="es-AR"/>
        </w:rPr>
        <w:t>e la autonomía universitaria y los mandatos de erradicar el analfabetismo, proteger las bellezas naturales, conservar y desarrollar el patrimonio histórico y artístico de la Nación, y apoyar la iniciativa privada para el progreso científico y artístico. La</w:t>
      </w:r>
      <w:r>
        <w:rPr>
          <w:rFonts w:ascii="Times New Roman" w:hAnsi="Times New Roman"/>
          <w:sz w:val="24"/>
          <w:szCs w:val="24"/>
          <w:lang w:val="es-AR"/>
        </w:rPr>
        <w:t xml:space="preserve"> constitución costarricense de 1949 se ha mantenido vigente con pocas modificaciones en esta materia, forjando las bases de uno de los sistemas de protección social más desarrollados de América Latina, y ha dado lugar además a una abundante jurisprudencia </w:t>
      </w:r>
      <w:r>
        <w:rPr>
          <w:rFonts w:ascii="Times New Roman" w:hAnsi="Times New Roman"/>
          <w:sz w:val="24"/>
          <w:szCs w:val="24"/>
          <w:lang w:val="es-AR"/>
        </w:rPr>
        <w:t>en materia de derechos sociales.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Guatemala, aunque las reformas de 1921, 1927 y 1935 ya habían iniciado el camino al incluir gradualmente cláusulas constitucionales en materia laboral, es sin duda la Constitución de 1945 – fruto de una experiencia refor</w:t>
      </w:r>
      <w:r>
        <w:rPr>
          <w:rFonts w:ascii="Times New Roman" w:hAnsi="Times New Roman"/>
          <w:sz w:val="24"/>
          <w:szCs w:val="24"/>
          <w:lang w:val="es-AR"/>
        </w:rPr>
        <w:t>mista frustrada tempranamente por un golpe militar – la que articula más sistemáticamente y con mayor detalle las disposiciones de corte social. Esta constitución, que sigue de cerca el modelo de la Constitución cubana de 1940, contaba con un título dedica</w:t>
      </w:r>
      <w:r>
        <w:rPr>
          <w:rFonts w:ascii="Times New Roman" w:hAnsi="Times New Roman"/>
          <w:sz w:val="24"/>
          <w:szCs w:val="24"/>
          <w:lang w:val="es-AR"/>
        </w:rPr>
        <w:t>do a las “Garantías individuales y sociales” que contiene un extenso capítulo dedicado a las “Garantías sociales”. El capítulo estaba dividido en secciones que versaban sobre “Trabajo”, “Empleado público”, “Familia”, y “Cultura”. La constitución incorporab</w:t>
      </w:r>
      <w:r>
        <w:rPr>
          <w:rFonts w:ascii="Times New Roman" w:hAnsi="Times New Roman"/>
          <w:sz w:val="24"/>
          <w:szCs w:val="24"/>
          <w:lang w:val="es-AR"/>
        </w:rPr>
        <w:t>a a su vez otro título dedicado al “Régimen económico y hacendario”, en el que figuran las facultades de regulación e intervención del Estado en la economía,  la función social de la propiedad, la prohibición de los latifundios, el fomento de la agricultur</w:t>
      </w:r>
      <w:r>
        <w:rPr>
          <w:rFonts w:ascii="Times New Roman" w:hAnsi="Times New Roman"/>
          <w:sz w:val="24"/>
          <w:szCs w:val="24"/>
          <w:lang w:val="es-AR"/>
        </w:rPr>
        <w:t xml:space="preserve">a, de la industria y de las cooperativas y la propiedad pública de los hidrocarburos, los minerales y otros recursos naturales.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Se destacan la detallada enumeración de principios fundamentales de organización del trabajo, el establecimiento de la respons</w:t>
      </w:r>
      <w:r>
        <w:rPr>
          <w:rFonts w:ascii="Times New Roman" w:hAnsi="Times New Roman"/>
          <w:sz w:val="24"/>
          <w:szCs w:val="24"/>
          <w:lang w:val="es-AR"/>
        </w:rPr>
        <w:t>abilidad de los empleadores por accidentes y enfermedades profesionales, la obligatoriedad de los seguros sociales, el establecimiento de la justicia laboral, y un incipiente tratamiento de los derechos de los pueblos indígenas, a los que se menciona espec</w:t>
      </w:r>
      <w:r>
        <w:rPr>
          <w:rFonts w:ascii="Times New Roman" w:hAnsi="Times New Roman"/>
          <w:sz w:val="24"/>
          <w:szCs w:val="24"/>
          <w:lang w:val="es-AR"/>
        </w:rPr>
        <w:t>íficamente en materia laboral y en materia de política cultural, económica y social. Al respecto, el artículo 83 declaraba “de utilidad e interés nacionales el desarrollo de una política integral para el mejoramiento económico, social y cultural de los gru</w:t>
      </w:r>
      <w:r>
        <w:rPr>
          <w:rFonts w:ascii="Times New Roman" w:hAnsi="Times New Roman"/>
          <w:sz w:val="24"/>
          <w:szCs w:val="24"/>
          <w:lang w:val="es-AR"/>
        </w:rPr>
        <w:t>pos indígenas. A ese efecto, pueden dictarse leyes, reglamentos y disposiciones especiales para los grupos indígenas, contemplando sus necesidades, condiciones, prácticas, usos y costumbres”.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lastRenderedPageBreak/>
        <w:t>En 1949, durante el primer gobierno del Juan Domingo Perón, se l</w:t>
      </w:r>
      <w:r>
        <w:rPr>
          <w:rFonts w:ascii="Times New Roman" w:hAnsi="Times New Roman"/>
          <w:sz w:val="24"/>
          <w:szCs w:val="24"/>
          <w:lang w:val="es-AR"/>
        </w:rPr>
        <w:t>levó a cabo en la Argentina una reforma constitucional que se destaca por la extensa inclusión de disposiciones de corte social</w:t>
      </w:r>
      <w:r>
        <w:rPr>
          <w:rStyle w:val="Refdenotaalpie"/>
          <w:rFonts w:ascii="Times New Roman" w:hAnsi="Times New Roman"/>
          <w:sz w:val="24"/>
          <w:szCs w:val="24"/>
          <w:lang w:val="es-AR"/>
        </w:rPr>
        <w:footnoteReference w:id="25"/>
      </w:r>
      <w:r>
        <w:rPr>
          <w:rFonts w:ascii="Times New Roman" w:hAnsi="Times New Roman"/>
          <w:sz w:val="24"/>
          <w:szCs w:val="24"/>
          <w:lang w:val="es-AR"/>
        </w:rPr>
        <w:t>. En la primera parte de esa Constitución, dedicada a los “Principios fundamentales”, se incluían respectivamente capítulos titu</w:t>
      </w:r>
      <w:r>
        <w:rPr>
          <w:rFonts w:ascii="Times New Roman" w:hAnsi="Times New Roman"/>
          <w:sz w:val="24"/>
          <w:szCs w:val="24"/>
          <w:lang w:val="es-AR"/>
        </w:rPr>
        <w:t>lados “Derechos, deberes y garantías de la libertad individual”, “Derechos del trabajador, de la familia, de la ancianidad, y de la educación y la cultura”, y “La función social de la propiedad, el capital y la actividad económica”.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Entre los derechos del </w:t>
      </w:r>
      <w:r>
        <w:rPr>
          <w:rFonts w:ascii="Times New Roman" w:hAnsi="Times New Roman"/>
          <w:sz w:val="24"/>
          <w:szCs w:val="24"/>
          <w:lang w:val="es-AR"/>
        </w:rPr>
        <w:t>trabajador se incluyen el “derecho de trabajar”, que debe ser “protegido por la sociedad, considerándolo con la dignidad que merece y proveyendo ocupación a quien la necesite”, el derecho a una retribución justa, “que satisfaga sus necesidades vitales y se</w:t>
      </w:r>
      <w:r>
        <w:rPr>
          <w:rFonts w:ascii="Times New Roman" w:hAnsi="Times New Roman"/>
          <w:sz w:val="24"/>
          <w:szCs w:val="24"/>
          <w:lang w:val="es-AR"/>
        </w:rPr>
        <w:t>a compensatoria del rendimiento obtenido y del esfuerzo realizado”,  el derecho a la capacitación, el derecho a condiciones dignas de trabajo, el derecho a la preservación de la salud, el derecho al bienestar, “incluyendo la posibilidad de obtener vivienda</w:t>
      </w:r>
      <w:r>
        <w:rPr>
          <w:rFonts w:ascii="Times New Roman" w:hAnsi="Times New Roman"/>
          <w:sz w:val="24"/>
          <w:szCs w:val="24"/>
          <w:lang w:val="es-AR"/>
        </w:rPr>
        <w:t>, indumentaria y alimentación adecuadas, de satisfacer sin angustias sus necesidades y las de su familia”, el derecho a la seguridad social en caso de “disminución, suspensión o pérdida de su capacidad para el trabajo”, el derecho a la protección de su fam</w:t>
      </w:r>
      <w:r>
        <w:rPr>
          <w:rFonts w:ascii="Times New Roman" w:hAnsi="Times New Roman"/>
          <w:sz w:val="24"/>
          <w:szCs w:val="24"/>
          <w:lang w:val="es-AR"/>
        </w:rPr>
        <w:t>ilia, el derecho “al mejoramiento económico” y el derecho a la defensa de los intereses profesionales, incluyendo el derecho a agremiarse libremente. No se mencionaba el derecho de huelga, y las menciones a los derechos colectivos del trabajador eran escas</w:t>
      </w:r>
      <w:r>
        <w:rPr>
          <w:rFonts w:ascii="Times New Roman" w:hAnsi="Times New Roman"/>
          <w:sz w:val="24"/>
          <w:szCs w:val="24"/>
          <w:lang w:val="es-AR"/>
        </w:rPr>
        <w:t>as.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materia de familia, se establecía su protección preferente por parte del Estado, como la protección el matrimonio, y la atención y asistencia de la madre y del niño, en línea con otras constituciones de la región. Mayor originalidad revestían, sin e</w:t>
      </w:r>
      <w:r>
        <w:rPr>
          <w:rFonts w:ascii="Times New Roman" w:hAnsi="Times New Roman"/>
          <w:sz w:val="24"/>
          <w:szCs w:val="24"/>
          <w:lang w:val="es-AR"/>
        </w:rPr>
        <w:t xml:space="preserve">mbargo, las pioneras disposiciones dedicadas a los “derechos de la ancianidad”, entre los que se enumeraban: el derecho a la asistencia, que correspondía primariamente a la familia y, en caso de desamparo, al Estado; el derecho a la vivienda; el derecho a </w:t>
      </w:r>
      <w:r>
        <w:rPr>
          <w:rFonts w:ascii="Times New Roman" w:hAnsi="Times New Roman"/>
          <w:sz w:val="24"/>
          <w:szCs w:val="24"/>
          <w:lang w:val="es-AR"/>
        </w:rPr>
        <w:t>la alimentación; el derecho al vestido; el derecho al cuidado de la salud física; el derecho “al cuidado de la salud moral”, consistente en el aseguramiento del “libre ejercicio de las expansiones espirituales, concordes con la moral y con el culto”; el de</w:t>
      </w:r>
      <w:r>
        <w:rPr>
          <w:rFonts w:ascii="Times New Roman" w:hAnsi="Times New Roman"/>
          <w:sz w:val="24"/>
          <w:szCs w:val="24"/>
          <w:lang w:val="es-AR"/>
        </w:rPr>
        <w:t>recho al esparcimiento; el derecho al trabajo, el “derecho a la tranquilidad” y el “derecho al respeto”.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materia de educación y cultura, se establecía la obligatoriedad de la enseñanza primaria elemental y su gratuidad en las escuelas públicas, la orien</w:t>
      </w:r>
      <w:r>
        <w:rPr>
          <w:rFonts w:ascii="Times New Roman" w:hAnsi="Times New Roman"/>
          <w:sz w:val="24"/>
          <w:szCs w:val="24"/>
          <w:lang w:val="es-AR"/>
        </w:rPr>
        <w:t>tación de la educación hacia la formación profesional tanto en las zonas rurales como en las urbanas, la autonomía universitaria, la provisión por parte del Estado de becas y asistencia familiar para asegurar el derecho de los “alumnos capaces y meritorios</w:t>
      </w:r>
      <w:r>
        <w:rPr>
          <w:rFonts w:ascii="Times New Roman" w:hAnsi="Times New Roman"/>
          <w:sz w:val="24"/>
          <w:szCs w:val="24"/>
          <w:lang w:val="es-AR"/>
        </w:rPr>
        <w:t>” de alcanzar los más altos grados de instrucción. El Estado promovía las ciencias y las artes, y tenía a cargo la protección de las “riquezas artísticas e históricas”, así como del “paisaje natural”.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En el capítulo que regulaba la intervención del Estado </w:t>
      </w:r>
      <w:r>
        <w:rPr>
          <w:rFonts w:ascii="Times New Roman" w:hAnsi="Times New Roman"/>
          <w:sz w:val="24"/>
          <w:szCs w:val="24"/>
          <w:lang w:val="es-AR"/>
        </w:rPr>
        <w:t>en la economía, se declaraba la función social de la propiedad, se encomendaba al Estado fiscalizar la distribución y utilización del campo con el objeto de desarrollar su rendimiento y procurar que cada labriego o familia labriega tuviera la posibilidad d</w:t>
      </w:r>
      <w:r>
        <w:rPr>
          <w:rFonts w:ascii="Times New Roman" w:hAnsi="Times New Roman"/>
          <w:sz w:val="24"/>
          <w:szCs w:val="24"/>
          <w:lang w:val="es-AR"/>
        </w:rPr>
        <w:t xml:space="preserve">e convertirse en propietario de la tierra que cultivaba. Se </w:t>
      </w:r>
      <w:r>
        <w:rPr>
          <w:rFonts w:ascii="Times New Roman" w:hAnsi="Times New Roman"/>
          <w:sz w:val="24"/>
          <w:szCs w:val="24"/>
          <w:lang w:val="es-AR"/>
        </w:rPr>
        <w:lastRenderedPageBreak/>
        <w:t>declaraba que el capital debía estar al servicio de la economía nacional y tener como principal objeto el bienestar social y que la organización de la riqueza y su explotación tenían por fin el bi</w:t>
      </w:r>
      <w:r>
        <w:rPr>
          <w:rFonts w:ascii="Times New Roman" w:hAnsi="Times New Roman"/>
          <w:sz w:val="24"/>
          <w:szCs w:val="24"/>
          <w:lang w:val="es-AR"/>
        </w:rPr>
        <w:t>enestar del pueblo, “dentro de un orden económico conforme a la justicia social”. En términos similares a las constituciones de Weimar, a la republicana española y a otras constituciones de la región, se autorizaba al Estado a intervenir en la economía y m</w:t>
      </w:r>
      <w:r>
        <w:rPr>
          <w:rFonts w:ascii="Times New Roman" w:hAnsi="Times New Roman"/>
          <w:sz w:val="24"/>
          <w:szCs w:val="24"/>
          <w:lang w:val="es-AR"/>
        </w:rPr>
        <w:t xml:space="preserve">onopolizar actividades en salvaguardia de los intereses generales. También se declaraba la propiedad pública de los minerales, yacimientos de petróleo, carbón, gas y de las fuentes naturales de energía, y de los servicios públicos.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Como en otros ejemplo</w:t>
      </w:r>
      <w:r>
        <w:rPr>
          <w:rFonts w:ascii="Times New Roman" w:hAnsi="Times New Roman"/>
          <w:sz w:val="24"/>
          <w:szCs w:val="24"/>
          <w:lang w:val="es-AR"/>
        </w:rPr>
        <w:t>s ya mencionados, la Constitución de 1949 contiene una cláusula de acuerdo con la cual el Estado “no reconoce organizaciones nacionales o internacionales cualesquiera que sean sus fines, que sustenten principios opuestos a las libertades individuales recon</w:t>
      </w:r>
      <w:r>
        <w:rPr>
          <w:rFonts w:ascii="Times New Roman" w:hAnsi="Times New Roman"/>
          <w:sz w:val="24"/>
          <w:szCs w:val="24"/>
          <w:lang w:val="es-AR"/>
        </w:rPr>
        <w:t xml:space="preserve">ocidas en esta Constitución, o atentatorias al sistema democrático en el que ésta se inspira”, prohibiendo a sus miembros el ejercicio de funciones públicas.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reforma constitucional de 1949 fue derogada con el golpe militar de 1955, en el que se restitu</w:t>
      </w:r>
      <w:r>
        <w:rPr>
          <w:rFonts w:ascii="Times New Roman" w:hAnsi="Times New Roman"/>
          <w:sz w:val="24"/>
          <w:szCs w:val="24"/>
          <w:lang w:val="es-AR"/>
        </w:rPr>
        <w:t>yó la vigencia de la Constitución de 1853-1860. Sin embargo, en 1957 se llevó a cabo una reforma constitucional que introdujo en la parte dedicada a “Declaraciones, derechos y garantías” un artículo, el 14 bis o 14 nuevo, en el que se reconocen derechos la</w:t>
      </w:r>
      <w:r>
        <w:rPr>
          <w:rFonts w:ascii="Times New Roman" w:hAnsi="Times New Roman"/>
          <w:sz w:val="24"/>
          <w:szCs w:val="24"/>
          <w:lang w:val="es-AR"/>
        </w:rPr>
        <w:t>borales individuales y colectivos, el derecho a la seguridad social, la protección de la familia y el acceso a una vivienda digna.</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 xml:space="preserve">2.4) </w:t>
      </w:r>
      <w:r>
        <w:rPr>
          <w:rFonts w:ascii="Times New Roman" w:hAnsi="Times New Roman"/>
          <w:b/>
          <w:sz w:val="24"/>
          <w:szCs w:val="24"/>
          <w:lang w:val="es-ES_tradnl"/>
        </w:rPr>
        <w:t>Constituciones de Europa occidental: la posguerra (1946-1948) e instauración democrática en el sur de Europa (1975-1978</w:t>
      </w:r>
      <w:r>
        <w:rPr>
          <w:rFonts w:ascii="Times New Roman" w:hAnsi="Times New Roman"/>
          <w:b/>
          <w:sz w:val="24"/>
          <w:szCs w:val="24"/>
          <w:lang w:val="es-ES_tradnl"/>
        </w:rPr>
        <w:t>)</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 xml:space="preserve">Dos períodos de la historia constitucional europea posterior a la segunda guerra mundial merecen particular atención en lo que hace a la constitucionalización de derechos sociales: el período inmediatamente posterior al fin de la Segunda Guerra Mundial, </w:t>
      </w:r>
      <w:r>
        <w:rPr>
          <w:rFonts w:ascii="Times New Roman" w:hAnsi="Times New Roman"/>
          <w:sz w:val="24"/>
          <w:szCs w:val="24"/>
          <w:lang w:val="es-ES_tradnl"/>
        </w:rPr>
        <w:t>y el fin de las experiencias autoritarias y correlativa instauración de la democracia en España, Grecia y Portugal.</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Respecto del primer período, entre 1946 y 1948 tres experiencias constitucionales, llamadas a jugar un influyente papel en el constitucional</w:t>
      </w:r>
      <w:r>
        <w:rPr>
          <w:rFonts w:ascii="Times New Roman" w:hAnsi="Times New Roman"/>
          <w:sz w:val="24"/>
          <w:szCs w:val="24"/>
          <w:lang w:val="es-ES_tradnl"/>
        </w:rPr>
        <w:t>ismo de la segunda mitad del Siglo XX, abordan  de modo diverso la inclusión de derechos y mandatos en materia social en las respectivas normas fundamentales. Se trata de las experiencias de Francia, Italia y Alemania.</w:t>
      </w:r>
      <w:r>
        <w:rPr>
          <w:rStyle w:val="Refdenotaalpie"/>
          <w:rFonts w:ascii="Times New Roman" w:hAnsi="Times New Roman"/>
          <w:sz w:val="24"/>
          <w:szCs w:val="24"/>
          <w:lang w:val="es-ES_tradnl"/>
        </w:rPr>
        <w:footnoteReference w:id="26"/>
      </w:r>
    </w:p>
    <w:p w:rsidR="00000000" w:rsidRDefault="007B5A38">
      <w:pPr>
        <w:jc w:val="both"/>
        <w:rPr>
          <w:rFonts w:ascii="Times New Roman" w:hAnsi="Times New Roman"/>
          <w:sz w:val="24"/>
          <w:szCs w:val="24"/>
          <w:lang w:val="es-AR"/>
        </w:rPr>
      </w:pPr>
      <w:r>
        <w:rPr>
          <w:rFonts w:ascii="Times New Roman" w:hAnsi="Times New Roman"/>
          <w:sz w:val="24"/>
          <w:szCs w:val="24"/>
          <w:lang w:val="es-ES_tradnl"/>
        </w:rPr>
        <w:t>En Francia, el proceso de adopción d</w:t>
      </w:r>
      <w:r>
        <w:rPr>
          <w:rFonts w:ascii="Times New Roman" w:hAnsi="Times New Roman"/>
          <w:sz w:val="24"/>
          <w:szCs w:val="24"/>
          <w:lang w:val="es-ES_tradnl"/>
        </w:rPr>
        <w:t>e una nueva constitución comienza inmediatamente después del fin de la guerra, con un referéndum realizado en octubre de 1945. Francia adopta una nueva constitución el 27 de octubre de 1946, sentando las bases de la cuarta república. El modelo adoptado por</w:t>
      </w:r>
      <w:r>
        <w:rPr>
          <w:rFonts w:ascii="Times New Roman" w:hAnsi="Times New Roman"/>
          <w:sz w:val="24"/>
          <w:szCs w:val="24"/>
          <w:lang w:val="es-ES_tradnl"/>
        </w:rPr>
        <w:t xml:space="preserve"> la Constitución de 1946 en materia de derechos y libertades es su </w:t>
      </w:r>
      <w:r>
        <w:rPr>
          <w:rFonts w:ascii="Times New Roman" w:hAnsi="Times New Roman"/>
          <w:sz w:val="24"/>
          <w:szCs w:val="24"/>
          <w:lang w:val="es-ES_tradnl"/>
        </w:rPr>
        <w:lastRenderedPageBreak/>
        <w:t>inclusión en el preámbulo</w:t>
      </w:r>
      <w:r>
        <w:rPr>
          <w:rStyle w:val="Refdenotaalpie"/>
          <w:rFonts w:ascii="Times New Roman" w:hAnsi="Times New Roman"/>
          <w:sz w:val="24"/>
          <w:szCs w:val="24"/>
          <w:lang w:val="es-ES_tradnl"/>
        </w:rPr>
        <w:footnoteReference w:id="27"/>
      </w:r>
      <w:r>
        <w:rPr>
          <w:rFonts w:ascii="Times New Roman" w:hAnsi="Times New Roman"/>
          <w:sz w:val="24"/>
          <w:szCs w:val="24"/>
          <w:lang w:val="es-ES_tradnl"/>
        </w:rPr>
        <w:t>. Además de reafirmar los principios y libertades del hombre y del ciudadano consagrados en la Declaración de 1789, el Preámbulo proclama nuevos “principios políti</w:t>
      </w:r>
      <w:r>
        <w:rPr>
          <w:rFonts w:ascii="Times New Roman" w:hAnsi="Times New Roman"/>
          <w:sz w:val="24"/>
          <w:szCs w:val="24"/>
          <w:lang w:val="es-ES_tradnl"/>
        </w:rPr>
        <w:t>cos, económicos y sociales” “por ser particularmente necesarios a nuestra época”. Gran parte de estos principios proclamados por la Constitución son derechos sociales: entre ellos, el derecho a trabajar y a obtener un empleo, la libertad sindical, el derec</w:t>
      </w:r>
      <w:r>
        <w:rPr>
          <w:rFonts w:ascii="Times New Roman" w:hAnsi="Times New Roman"/>
          <w:sz w:val="24"/>
          <w:szCs w:val="24"/>
          <w:lang w:val="es-ES_tradnl"/>
        </w:rPr>
        <w:t xml:space="preserve">ho de huelga, el derecho a la negociación colectiva, la protección de la familia, la protección de la salud, el derecho a la seguridad material, descanso y tiempo libre, particularmente para los niños, las madres y los trabajadores retirados, el derecho a </w:t>
      </w:r>
      <w:r>
        <w:rPr>
          <w:rFonts w:ascii="Times New Roman" w:hAnsi="Times New Roman"/>
          <w:sz w:val="24"/>
          <w:szCs w:val="24"/>
          <w:lang w:val="es-ES_tradnl"/>
        </w:rPr>
        <w:t>la seguridad social para quienes no estén en condiciones de trabajar, la protección frente a las situaciones de calamidad y el derecho a la educación, a la formación profesional y a la cultura, con particular mención del deber estatal de organizar la enseñ</w:t>
      </w:r>
      <w:r>
        <w:rPr>
          <w:rFonts w:ascii="Times New Roman" w:hAnsi="Times New Roman"/>
          <w:sz w:val="24"/>
          <w:szCs w:val="24"/>
          <w:lang w:val="es-ES_tradnl"/>
        </w:rPr>
        <w:t xml:space="preserve">anza pública, gratuita y laica en todos sus niveles. El Preámbulo mencionada también el deber estatal de colectivizar los bienes o empresas que constituyan servicios públicos nacionales o monopolios.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Debe señalarse que la Constitución no establecía un mec</w:t>
      </w:r>
      <w:r>
        <w:rPr>
          <w:rFonts w:ascii="Times New Roman" w:hAnsi="Times New Roman"/>
          <w:sz w:val="24"/>
          <w:szCs w:val="24"/>
          <w:lang w:val="es-AR"/>
        </w:rPr>
        <w:t>anismo de control de constitucionalidad competente para decidir sobre la alegada violación de los derechos y libertades incluidos en el Preámbulo. El mecanismo establecido por la Constitución para la revisión previa de leyes que pudieran suponer modificaci</w:t>
      </w:r>
      <w:r>
        <w:rPr>
          <w:rFonts w:ascii="Times New Roman" w:hAnsi="Times New Roman"/>
          <w:sz w:val="24"/>
          <w:szCs w:val="24"/>
          <w:lang w:val="es-AR"/>
        </w:rPr>
        <w:t xml:space="preserve">ones a la constitución – llamado Comité Constitucional – sólo era aplicable a las disposiciones de la parte orgánica de la constitución, y excluía al preámbulo. </w:t>
      </w:r>
    </w:p>
    <w:p w:rsidR="00000000" w:rsidRDefault="007B5A38">
      <w:pPr>
        <w:jc w:val="both"/>
        <w:rPr>
          <w:rFonts w:ascii="Times New Roman" w:hAnsi="Times New Roman"/>
          <w:sz w:val="24"/>
          <w:szCs w:val="24"/>
          <w:lang w:val="es-ES_tradnl"/>
        </w:rPr>
      </w:pPr>
      <w:r>
        <w:rPr>
          <w:rFonts w:ascii="Times New Roman" w:hAnsi="Times New Roman"/>
          <w:sz w:val="24"/>
          <w:szCs w:val="24"/>
          <w:lang w:val="es-AR"/>
        </w:rPr>
        <w:t>La Constitución de 1946 tuvo una vida corta, y fue reemplazada por la Constitución del 4 de oc</w:t>
      </w:r>
      <w:r>
        <w:rPr>
          <w:rFonts w:ascii="Times New Roman" w:hAnsi="Times New Roman"/>
          <w:sz w:val="24"/>
          <w:szCs w:val="24"/>
          <w:lang w:val="es-AR"/>
        </w:rPr>
        <w:t>tubre de 1958, que se mantiene básicamente en vigencia hasta la fecha, con algunas modificaciones. La Constitución de 1958 no innovó mayormente en materia de derechos y libertades: su preámbulo proclama la adhesión </w:t>
      </w:r>
      <w:r>
        <w:rPr>
          <w:rFonts w:ascii="Times New Roman" w:hAnsi="Times New Roman"/>
          <w:sz w:val="24"/>
          <w:szCs w:val="24"/>
          <w:lang w:val="es-ES_tradnl"/>
        </w:rPr>
        <w:t>“a los Derechos humanos y a los principio</w:t>
      </w:r>
      <w:r>
        <w:rPr>
          <w:rFonts w:ascii="Times New Roman" w:hAnsi="Times New Roman"/>
          <w:sz w:val="24"/>
          <w:szCs w:val="24"/>
          <w:lang w:val="es-ES_tradnl"/>
        </w:rPr>
        <w:t xml:space="preserve">s de la soberanía nacional tal como han sido definidos por la Declaración de 1789, confirmada y completada por el preámbulo de la Constitución de 1946”. La Constitución de 1958 instituyó un órgano de control de constitucionalidad </w:t>
      </w:r>
      <w:r>
        <w:rPr>
          <w:rFonts w:ascii="Times New Roman" w:hAnsi="Times New Roman"/>
          <w:i/>
          <w:sz w:val="24"/>
          <w:szCs w:val="24"/>
          <w:lang w:val="es-ES_tradnl"/>
        </w:rPr>
        <w:t>a priori</w:t>
      </w:r>
      <w:r>
        <w:rPr>
          <w:rFonts w:ascii="Times New Roman" w:hAnsi="Times New Roman"/>
          <w:sz w:val="24"/>
          <w:szCs w:val="24"/>
          <w:lang w:val="es-ES_tradnl"/>
        </w:rPr>
        <w:t>, es decir, previo</w:t>
      </w:r>
      <w:r>
        <w:rPr>
          <w:rFonts w:ascii="Times New Roman" w:hAnsi="Times New Roman"/>
          <w:sz w:val="24"/>
          <w:szCs w:val="24"/>
          <w:lang w:val="es-ES_tradnl"/>
        </w:rPr>
        <w:t xml:space="preserve"> a la promulgación de la ley, el Consejo Constitucional, limitando muy estrictamente la posibilidad de someter proyectos de ley a su consideración bajo alegaciones de inconstitucionalidad al presidente de la República, primer ministro o presidente de la As</w:t>
      </w:r>
      <w:r>
        <w:rPr>
          <w:rFonts w:ascii="Times New Roman" w:hAnsi="Times New Roman"/>
          <w:sz w:val="24"/>
          <w:szCs w:val="24"/>
          <w:lang w:val="es-ES_tradnl"/>
        </w:rPr>
        <w:t>amblea Nacional o del Senado. El sistema ha evolucionado con el tiempo, con la ampliación en 1974 de los sujetos autorizados a solicitar el control a un conjunto de sesenta diputados o senadores, y – mucho más recientemente, a través de reformas introducid</w:t>
      </w:r>
      <w:r>
        <w:rPr>
          <w:rFonts w:ascii="Times New Roman" w:hAnsi="Times New Roman"/>
          <w:sz w:val="24"/>
          <w:szCs w:val="24"/>
          <w:lang w:val="es-ES_tradnl"/>
        </w:rPr>
        <w:t xml:space="preserve">as en 2008 – con la posibilidad de efectuar un control de constitucionalidad </w:t>
      </w:r>
      <w:r>
        <w:rPr>
          <w:rFonts w:ascii="Times New Roman" w:hAnsi="Times New Roman"/>
          <w:i/>
          <w:sz w:val="24"/>
          <w:szCs w:val="24"/>
          <w:lang w:val="es-ES_tradnl"/>
        </w:rPr>
        <w:t>a posteriori</w:t>
      </w:r>
      <w:r>
        <w:rPr>
          <w:rFonts w:ascii="Times New Roman" w:hAnsi="Times New Roman"/>
          <w:sz w:val="24"/>
          <w:szCs w:val="24"/>
          <w:lang w:val="es-ES_tradnl"/>
        </w:rPr>
        <w:t xml:space="preserve"> ante la solicitud del Consejo de Estado o de la Corte de Casación, posibilidad inspirada en la facultad de elevar una “cuestión de constitucionalidad” por parte de lo</w:t>
      </w:r>
      <w:r>
        <w:rPr>
          <w:rFonts w:ascii="Times New Roman" w:hAnsi="Times New Roman"/>
          <w:sz w:val="24"/>
          <w:szCs w:val="24"/>
          <w:lang w:val="es-ES_tradnl"/>
        </w:rPr>
        <w:t xml:space="preserve">s jueces en los sistemas de control de constitucionalidad de inspiración austríaca. </w:t>
      </w:r>
      <w:r>
        <w:rPr>
          <w:rFonts w:ascii="Times New Roman" w:hAnsi="Times New Roman"/>
          <w:sz w:val="24"/>
          <w:szCs w:val="24"/>
          <w:lang w:val="es-ES_tradnl"/>
        </w:rPr>
        <w:lastRenderedPageBreak/>
        <w:t>El propio Consejo Constitucional ha decidido, a partir de la década de 1970, que es competente para considerar alegadas infracciones a los derechos y libertades consagradas</w:t>
      </w:r>
      <w:r>
        <w:rPr>
          <w:rFonts w:ascii="Times New Roman" w:hAnsi="Times New Roman"/>
          <w:sz w:val="24"/>
          <w:szCs w:val="24"/>
          <w:lang w:val="es-ES_tradnl"/>
        </w:rPr>
        <w:t xml:space="preserve"> en el Preámbulo de la Constitución, que como vimos incluye derechos sociales, a partir del desarrollo de la noción de “bloque de constitucionalidad”</w:t>
      </w:r>
      <w:r>
        <w:rPr>
          <w:rStyle w:val="Refdenotaalpie"/>
          <w:rFonts w:ascii="Times New Roman" w:hAnsi="Times New Roman"/>
          <w:sz w:val="24"/>
          <w:szCs w:val="24"/>
          <w:lang w:val="es-ES_tradnl"/>
        </w:rPr>
        <w:footnoteReference w:id="28"/>
      </w:r>
      <w:r>
        <w:rPr>
          <w:rFonts w:ascii="Times New Roman" w:hAnsi="Times New Roman"/>
          <w:sz w:val="24"/>
          <w:szCs w:val="24"/>
          <w:lang w:val="es-ES_tradnl"/>
        </w:rPr>
        <w:t>.</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El modelo constitucional francés ha tenido importante influencia en países francófonos y ex colonias fra</w:t>
      </w:r>
      <w:r>
        <w:rPr>
          <w:rFonts w:ascii="Times New Roman" w:hAnsi="Times New Roman"/>
          <w:sz w:val="24"/>
          <w:szCs w:val="24"/>
          <w:lang w:val="es-ES_tradnl"/>
        </w:rPr>
        <w:t xml:space="preserve">ncesas de África y Asia. Muchas constituciones han instituido un Consejo Constitucional inspirado en el francés – es el caso de Argelia (1989), Burkina Faso (2000), Camboya (1972, 1993), Chad (1996), Costa de Marfil (2000), Djibouti (2000), Líbano (1989), </w:t>
      </w:r>
      <w:r>
        <w:rPr>
          <w:rFonts w:ascii="Times New Roman" w:hAnsi="Times New Roman"/>
          <w:sz w:val="24"/>
          <w:szCs w:val="24"/>
          <w:lang w:val="es-ES_tradnl"/>
        </w:rPr>
        <w:t>Marruecos (1992), Mauritania,  Senegal (1992) y Túnez (1959). En materia de derechos fundamentales, muchas constituciones influidas por el modelo francés mantienen la mención de derechos y libertades en el Preámbulo, así como la referencia a la Declaración</w:t>
      </w:r>
      <w:r>
        <w:rPr>
          <w:rFonts w:ascii="Times New Roman" w:hAnsi="Times New Roman"/>
          <w:sz w:val="24"/>
          <w:szCs w:val="24"/>
          <w:lang w:val="es-ES_tradnl"/>
        </w:rPr>
        <w:t xml:space="preserve"> de los Derechos del Hombre y del Ciudadano de 1789, pero la tendencia ha sido completada con la mención de instrumentos universales y africanos de derechos humanos – como la Declaración Universal de Derechos Humanos y los tratados ratificados por el respe</w:t>
      </w:r>
      <w:r>
        <w:rPr>
          <w:rFonts w:ascii="Times New Roman" w:hAnsi="Times New Roman"/>
          <w:sz w:val="24"/>
          <w:szCs w:val="24"/>
          <w:lang w:val="es-ES_tradnl"/>
        </w:rPr>
        <w:t xml:space="preserve">ctivo país – y por la inclusión de un capítulo de derechos fundamentales. En todo caso, desde el punto de vista sustantivo, es de destacar que la tendencia casi unánime en la mayoría de los países influidos por la tradición constitucional francesa ha sido </w:t>
      </w:r>
      <w:r>
        <w:rPr>
          <w:rFonts w:ascii="Times New Roman" w:hAnsi="Times New Roman"/>
          <w:sz w:val="24"/>
          <w:szCs w:val="24"/>
          <w:lang w:val="es-ES_tradnl"/>
        </w:rPr>
        <w:t>la de incorporar, en diversas modalidades, derechos sociales entre los derechos fundamentales</w:t>
      </w:r>
      <w:r>
        <w:rPr>
          <w:rStyle w:val="Refdenotaalpie"/>
          <w:rFonts w:ascii="Times New Roman" w:hAnsi="Times New Roman"/>
          <w:sz w:val="24"/>
          <w:szCs w:val="24"/>
          <w:lang w:val="es-ES_tradnl"/>
        </w:rPr>
        <w:footnoteReference w:id="29"/>
      </w:r>
      <w:r>
        <w:rPr>
          <w:rFonts w:ascii="Times New Roman" w:hAnsi="Times New Roman"/>
          <w:sz w:val="24"/>
          <w:szCs w:val="24"/>
          <w:lang w:val="es-ES_tradnl"/>
        </w:rPr>
        <w:t>. Constituyen ejemplos de esta tendencia las constituciones de Argelia (1963, 1976, 1989, 1996), Benín (1990), Burkina Faso (1991), Camboya (1993), Camerún (1960)</w:t>
      </w:r>
      <w:r>
        <w:rPr>
          <w:rFonts w:ascii="Times New Roman" w:hAnsi="Times New Roman"/>
          <w:sz w:val="24"/>
          <w:szCs w:val="24"/>
          <w:lang w:val="es-ES_tradnl"/>
        </w:rPr>
        <w:t>, Chad (1996), Congo-Brazzaville (1997), Costa de Marfil (1960, 2000), Gabón (1991), Madagascar (1992),  Mali (1992), Marruecos (1962), Mauritania (1991), Níger (1999), República Centroafricana (1959, 1995), República Democrática del Congo (1994, 2003, 200</w:t>
      </w:r>
      <w:r>
        <w:rPr>
          <w:rFonts w:ascii="Times New Roman" w:hAnsi="Times New Roman"/>
          <w:sz w:val="24"/>
          <w:szCs w:val="24"/>
          <w:lang w:val="es-ES_tradnl"/>
        </w:rPr>
        <w:t>6), Senegal (1959, 1960, 1963, 2001), Túnez (1959) y Yibuti (1992).</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La experiencia constitucional italiana de posguerra tiene una explícita impronta social</w:t>
      </w:r>
      <w:r>
        <w:rPr>
          <w:rStyle w:val="Refdenotaalpie"/>
          <w:rFonts w:ascii="Times New Roman" w:hAnsi="Times New Roman"/>
          <w:sz w:val="24"/>
          <w:szCs w:val="24"/>
          <w:lang w:val="es-ES_tradnl"/>
        </w:rPr>
        <w:footnoteReference w:id="30"/>
      </w:r>
      <w:r>
        <w:rPr>
          <w:rFonts w:ascii="Times New Roman" w:hAnsi="Times New Roman"/>
          <w:sz w:val="24"/>
          <w:szCs w:val="24"/>
          <w:lang w:val="es-ES_tradnl"/>
        </w:rPr>
        <w:t xml:space="preserve">, que refleja el consenso de las fuerzas políticas que protagonizaron la lucha contra el fascismo y </w:t>
      </w:r>
      <w:r>
        <w:rPr>
          <w:rFonts w:ascii="Times New Roman" w:hAnsi="Times New Roman"/>
          <w:sz w:val="24"/>
          <w:szCs w:val="24"/>
          <w:lang w:val="es-ES_tradnl"/>
        </w:rPr>
        <w:lastRenderedPageBreak/>
        <w:t>contra la ocupación alemana durante la guerra. Basta para constatarlo revisar los primeros cuatro artículos de la Constitución italiana de 27 de diciembre de 1947, listados bajo el título “Principios fundamentales”. La Constitución declara, entre esos prin</w:t>
      </w:r>
      <w:r>
        <w:rPr>
          <w:rFonts w:ascii="Times New Roman" w:hAnsi="Times New Roman"/>
          <w:sz w:val="24"/>
          <w:szCs w:val="24"/>
          <w:lang w:val="es-ES_tradnl"/>
        </w:rPr>
        <w:t>cipios fundamentales del Estado, que Italia “es una República democrática, fundada sobre el trabajo” (artículo 1), que “reconoce y garantiza los derechos inviolables del hombre, sea como individuo, sea en el seno de las formaciones sociales donde aquél des</w:t>
      </w:r>
      <w:r>
        <w:rPr>
          <w:rFonts w:ascii="Times New Roman" w:hAnsi="Times New Roman"/>
          <w:sz w:val="24"/>
          <w:szCs w:val="24"/>
          <w:lang w:val="es-ES_tradnl"/>
        </w:rPr>
        <w:t>arrolla su personalidad, y exige el cumplimiento de los deberes inderogables de solidaridad política, económica y social” (artículo 2), que “(c)onstituye obligación de la República suprimir los obstáculos de orden económico y social que, limitando de hecho</w:t>
      </w:r>
      <w:r>
        <w:rPr>
          <w:rFonts w:ascii="Times New Roman" w:hAnsi="Times New Roman"/>
          <w:sz w:val="24"/>
          <w:szCs w:val="24"/>
          <w:lang w:val="es-ES_tradnl"/>
        </w:rPr>
        <w:t xml:space="preserve"> la libertad y la igualdad de los ciudadanos, impiden el pleno desarrollo de la persona humana y la participación efectiva de todos los trabajadores en la organización política, económica y social del país” (artículo 3), que “la República reconoce a todos </w:t>
      </w:r>
      <w:r>
        <w:rPr>
          <w:rFonts w:ascii="Times New Roman" w:hAnsi="Times New Roman"/>
          <w:sz w:val="24"/>
          <w:szCs w:val="24"/>
          <w:lang w:val="es-ES_tradnl"/>
        </w:rPr>
        <w:t>los ciudadanos el derecho al trabajo y promoverá las condiciones que hagan efectivo este derecho” y que “(t)odo ciudadano tendrá el deber de desempeñar, según sus posibilidades y su propia elección, una actividad o función que conduzca al progreso material</w:t>
      </w:r>
      <w:r>
        <w:rPr>
          <w:rFonts w:ascii="Times New Roman" w:hAnsi="Times New Roman"/>
          <w:sz w:val="24"/>
          <w:szCs w:val="24"/>
          <w:lang w:val="es-ES_tradnl"/>
        </w:rPr>
        <w:t xml:space="preserve"> o espiritual de la sociedad” (artículo 4). </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En la parte dedicada a los “Derechos y deberes de los ciudadanos”, la Constitución italiana agrupa derechos sociales, en particular bajo los títulos “Relaciones ético-sociales” (título II) y “Relaciones económic</w:t>
      </w:r>
      <w:r>
        <w:rPr>
          <w:rFonts w:ascii="Times New Roman" w:hAnsi="Times New Roman"/>
          <w:sz w:val="24"/>
          <w:szCs w:val="24"/>
          <w:lang w:val="es-ES_tradnl"/>
        </w:rPr>
        <w:t>as” (título III). En el título de “Relaciones ético-sociales” se incluyen la protección de la familia, de la maternidad, de la niñez y de la juventud, la tutela de la salud como derecho fundamental, con mención a la gratuidad de los servicios médicos a los</w:t>
      </w:r>
      <w:r>
        <w:rPr>
          <w:rFonts w:ascii="Times New Roman" w:hAnsi="Times New Roman"/>
          <w:sz w:val="24"/>
          <w:szCs w:val="24"/>
          <w:lang w:val="es-ES_tradnl"/>
        </w:rPr>
        <w:t xml:space="preserve"> indigentes, el derecho a la educación,  el carácter gratuito y obligatorio de la educación primaria, y el acceso de todos, aunque carezcan de medios, a los demás niveles educativos sobre la base de la capacidad y el mérito, a través de becas de estudio y </w:t>
      </w:r>
      <w:r>
        <w:rPr>
          <w:rFonts w:ascii="Times New Roman" w:hAnsi="Times New Roman"/>
          <w:sz w:val="24"/>
          <w:szCs w:val="24"/>
          <w:lang w:val="es-ES_tradnl"/>
        </w:rPr>
        <w:t>asignaciones familiares.</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En cuanto a las “Relaciones económicas”, el título, inspirado en buena medida en el lenguaje de la Constitución de Weimar, consagra la tutela del trabajo y la promoción de la formación profesional, los derechos laborales individual</w:t>
      </w:r>
      <w:r>
        <w:rPr>
          <w:rFonts w:ascii="Times New Roman" w:hAnsi="Times New Roman"/>
          <w:sz w:val="24"/>
          <w:szCs w:val="24"/>
          <w:lang w:val="es-ES_tradnl"/>
        </w:rPr>
        <w:t>es y colectivos, incluyendo el derecho de huelga y la libertad sindical, la protección de las trabajadoras madres y la regulación y supervisión del trabajo de menores y el derecho a la asistencia y a la seguridad social. Aunque se reconoce la libertad de e</w:t>
      </w:r>
      <w:r>
        <w:rPr>
          <w:rFonts w:ascii="Times New Roman" w:hAnsi="Times New Roman"/>
          <w:sz w:val="24"/>
          <w:szCs w:val="24"/>
          <w:lang w:val="es-ES_tradnl"/>
        </w:rPr>
        <w:t>mpresa, se establece que ésta no puede dirigirse contra la utilidad social, o afectar la seguridad, libertad, dignidad humana, autorizándose controles para que la actividad económica cumpla fines sociales. Se consagra la función social de la propiedad, y s</w:t>
      </w:r>
      <w:r>
        <w:rPr>
          <w:rFonts w:ascii="Times New Roman" w:hAnsi="Times New Roman"/>
          <w:sz w:val="24"/>
          <w:szCs w:val="24"/>
          <w:lang w:val="es-ES_tradnl"/>
        </w:rPr>
        <w:t xml:space="preserve">e habilita posibilidad de reserva para el Estado o de estatización  de empresas de servicios públicos esenciales, ligadas a fuentes de energía o de monopolios de interés general, así como la regulación de la propiedad agraria. El título incluye también el </w:t>
      </w:r>
      <w:r>
        <w:rPr>
          <w:rFonts w:ascii="Times New Roman" w:hAnsi="Times New Roman"/>
          <w:sz w:val="24"/>
          <w:szCs w:val="24"/>
          <w:lang w:val="es-ES_tradnl"/>
        </w:rPr>
        <w:t>derecho de trabajadores a colaborar en la gestión de la empresa, promoción del mutualismo y del ahorro popular, en particular con fines de acceso a la vivienda, a la propiedad agrícola y o de inversión en complejos productivos.</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lastRenderedPageBreak/>
        <w:t>La principal garantía consti</w:t>
      </w:r>
      <w:r>
        <w:rPr>
          <w:rFonts w:ascii="Times New Roman" w:hAnsi="Times New Roman"/>
          <w:sz w:val="24"/>
          <w:szCs w:val="24"/>
          <w:lang w:val="es-ES_tradnl"/>
        </w:rPr>
        <w:t>tucional de la Constitución italiana es la institución de un tribunal constitucional,  cuya jurisprudencia ha reafirmado la justiciabilidad de los derechos sociales particularmente a partir de la década de 1970.</w:t>
      </w:r>
    </w:p>
    <w:p w:rsidR="00000000" w:rsidRDefault="007B5A38">
      <w:pPr>
        <w:jc w:val="both"/>
        <w:rPr>
          <w:rFonts w:ascii="Times New Roman" w:hAnsi="Times New Roman"/>
          <w:sz w:val="24"/>
          <w:szCs w:val="24"/>
          <w:lang w:val="es-ES_tradnl"/>
        </w:rPr>
      </w:pPr>
      <w:r>
        <w:rPr>
          <w:rFonts w:ascii="Times New Roman" w:hAnsi="Times New Roman"/>
          <w:sz w:val="24"/>
          <w:szCs w:val="24"/>
          <w:lang w:val="es-ES_tradnl"/>
        </w:rPr>
        <w:t>El lenguaje de la Constitución italiana en m</w:t>
      </w:r>
      <w:r>
        <w:rPr>
          <w:rFonts w:ascii="Times New Roman" w:hAnsi="Times New Roman"/>
          <w:sz w:val="24"/>
          <w:szCs w:val="24"/>
          <w:lang w:val="es-ES_tradnl"/>
        </w:rPr>
        <w:t>ateria de derechos sociales ha tenido influencia en América Latina y en las constituciones española y portuguesa.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abordaje de la Ley Fundamental de la República Federal Alemana, promulgada el 23 de mayo de 1949, es bastante más parco en materia social</w:t>
      </w:r>
      <w:r>
        <w:rPr>
          <w:rStyle w:val="Refdenotaalpie"/>
          <w:rFonts w:ascii="Times New Roman" w:hAnsi="Times New Roman"/>
          <w:sz w:val="24"/>
          <w:szCs w:val="24"/>
          <w:lang w:val="es-AR"/>
        </w:rPr>
        <w:footnoteReference w:id="31"/>
      </w:r>
      <w:r>
        <w:rPr>
          <w:rFonts w:ascii="Times New Roman" w:hAnsi="Times New Roman"/>
          <w:sz w:val="24"/>
          <w:szCs w:val="24"/>
          <w:lang w:val="es-AR"/>
        </w:rPr>
        <w:t>:</w:t>
      </w:r>
      <w:r>
        <w:rPr>
          <w:rFonts w:ascii="Times New Roman" w:hAnsi="Times New Roman"/>
          <w:sz w:val="24"/>
          <w:szCs w:val="24"/>
          <w:lang w:val="es-AR"/>
        </w:rPr>
        <w:t xml:space="preserve"> en el título dedicado a los “Derechos Fundamentales” sólo se incluyen explícitamente la protección del matrimonio y la familia, el derecho de la madre a la protección y a la asistencia por parte de la comunidad, la supervisión estatal del sistema escolar,</w:t>
      </w:r>
      <w:r>
        <w:rPr>
          <w:rFonts w:ascii="Times New Roman" w:hAnsi="Times New Roman"/>
          <w:sz w:val="24"/>
          <w:szCs w:val="24"/>
          <w:lang w:val="es-AR"/>
        </w:rPr>
        <w:t xml:space="preserve"> la libertad sindical, la prohibición del trabajo forzoso, la función social de la propiedad y la posibilidad de socialización del suelo, los recursos naturales y los medios de producción.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Sin embargo, el desarrollo de la jurisprudencia del Tribunal Const</w:t>
      </w:r>
      <w:r>
        <w:rPr>
          <w:rFonts w:ascii="Times New Roman" w:hAnsi="Times New Roman"/>
          <w:sz w:val="24"/>
          <w:szCs w:val="24"/>
          <w:lang w:val="es-AR"/>
        </w:rPr>
        <w:t xml:space="preserve">itucional creado por la Ley Fundamental en materia de derechos sociales ha sido considerable, en particular a partir de una interpretación expansiva de las obligaciones positivas del Estado que se han derivado de la denominada “cláusula del Estado social” </w:t>
      </w:r>
      <w:r>
        <w:rPr>
          <w:rFonts w:ascii="Times New Roman" w:hAnsi="Times New Roman"/>
          <w:sz w:val="24"/>
          <w:szCs w:val="24"/>
          <w:lang w:val="es-AR"/>
        </w:rPr>
        <w:t>(artículo 20(1) ) y de la protección de la dignidad humana (artículo 1(1)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segundo período que merece particular atención corresponde con la democratización de países del sur de Europa, luego de experiencias políticas de corte autoritario. Con distint</w:t>
      </w:r>
      <w:r>
        <w:rPr>
          <w:rFonts w:ascii="Times New Roman" w:hAnsi="Times New Roman"/>
          <w:sz w:val="24"/>
          <w:szCs w:val="24"/>
          <w:lang w:val="es-AR"/>
        </w:rPr>
        <w:t>as modalidades, que reflejan las circunstancias propias de los respectivos procesos políticos, la adopción de nuevas constituciones en Grecia, Portugal y España en el período que va desde 1975 a 1978 se caracteriza por la decidida inclusión de derechos y m</w:t>
      </w:r>
      <w:r>
        <w:rPr>
          <w:rFonts w:ascii="Times New Roman" w:hAnsi="Times New Roman"/>
          <w:sz w:val="24"/>
          <w:szCs w:val="24"/>
          <w:lang w:val="es-AR"/>
        </w:rPr>
        <w:t>andatos de carácter social.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Grecia, la adopción de la Constitución de 1975 fue consecuencia  directa de la superación de la llamada “dictadura de los Coroneles”. Aunque el texto constitucional tomó como base la constitución de 1952, uno de sus rasgos in</w:t>
      </w:r>
      <w:r>
        <w:rPr>
          <w:rFonts w:ascii="Times New Roman" w:hAnsi="Times New Roman"/>
          <w:sz w:val="24"/>
          <w:szCs w:val="24"/>
          <w:lang w:val="es-AR"/>
        </w:rPr>
        <w:t>novadores con respecto a su precedente es justamente la inclusión de derechos sociales en la parte denominada “Derechos individuales y sociales”. Entre los derechos consagrados en este capítulo se encuentra el derecho a la educación, considerada “una misió</w:t>
      </w:r>
      <w:r>
        <w:rPr>
          <w:rFonts w:ascii="Times New Roman" w:hAnsi="Times New Roman"/>
          <w:sz w:val="24"/>
          <w:szCs w:val="24"/>
          <w:lang w:val="es-AR"/>
        </w:rPr>
        <w:t>n básica del Estado”, e incluye la gratuidad de la educación en todos los niveles educativos. Se encomienda al Estado la protección de la familia, matrimonio, maternidad e infancia; la protección especial de las familias numerosas, de los veteranos de guer</w:t>
      </w:r>
      <w:r>
        <w:rPr>
          <w:rFonts w:ascii="Times New Roman" w:hAnsi="Times New Roman"/>
          <w:sz w:val="24"/>
          <w:szCs w:val="24"/>
          <w:lang w:val="es-AR"/>
        </w:rPr>
        <w:t xml:space="preserve">ra discapacitados, de las víctimas de la guerra, viudas y huérfanos; la tutela de la salud; la adopción de medidas de protección de los jóvenes, los ancianos, las personas con discapacidad </w:t>
      </w:r>
      <w:r>
        <w:rPr>
          <w:rFonts w:ascii="Times New Roman" w:hAnsi="Times New Roman"/>
          <w:sz w:val="24"/>
          <w:szCs w:val="24"/>
          <w:lang w:val="es-AR"/>
        </w:rPr>
        <w:lastRenderedPageBreak/>
        <w:t>y los indigentes, y la promoción de adquisición de vivienda para lo</w:t>
      </w:r>
      <w:r>
        <w:rPr>
          <w:rFonts w:ascii="Times New Roman" w:hAnsi="Times New Roman"/>
          <w:sz w:val="24"/>
          <w:szCs w:val="24"/>
          <w:lang w:val="es-AR"/>
        </w:rPr>
        <w:t xml:space="preserve">s que no tienen hogar o viven en condiciones inadecuadas.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materia de trabajo,  la Constitución encomienda al Estado la tutela del trabajo, la creación de condiciones de empleo y la seguridad social de los trabajadores, y consagra derechos laborales ind</w:t>
      </w:r>
      <w:r>
        <w:rPr>
          <w:rFonts w:ascii="Times New Roman" w:hAnsi="Times New Roman"/>
          <w:sz w:val="24"/>
          <w:szCs w:val="24"/>
          <w:lang w:val="es-AR"/>
        </w:rPr>
        <w:t>ividuales y colectivos – incluyendo la libertad sindical y el derecho de huelga - y la prohibición trabajo forzoso.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griega de 1975 asigna también al Estado el deber de protección del patrimonio histórico, cultural y el medio ambiente y la r</w:t>
      </w:r>
      <w:r>
        <w:rPr>
          <w:rFonts w:ascii="Times New Roman" w:hAnsi="Times New Roman"/>
          <w:sz w:val="24"/>
          <w:szCs w:val="24"/>
          <w:lang w:val="es-AR"/>
        </w:rPr>
        <w:t>egulación urbanística destinada a conseguir la funcionalidad y desarrollo de los asentamientos y aseguramiento de mejores condiciones de vida. Se establece la función social de la propiedad, y se habilita al Estado a regular la propiedad minera, agrícola y</w:t>
      </w:r>
      <w:r>
        <w:rPr>
          <w:rFonts w:ascii="Times New Roman" w:hAnsi="Times New Roman"/>
          <w:sz w:val="24"/>
          <w:szCs w:val="24"/>
          <w:lang w:val="es-AR"/>
        </w:rPr>
        <w:t xml:space="preserve"> las tierras no utilizadas.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de la República Portuguesa de 1976, adoptada en el período de normalización democrática que siguió a la denominada “revolución de los claveles”, constituye uno de las manifestaciones más notorias de constitucion</w:t>
      </w:r>
      <w:r>
        <w:rPr>
          <w:rFonts w:ascii="Times New Roman" w:hAnsi="Times New Roman"/>
          <w:sz w:val="24"/>
          <w:szCs w:val="24"/>
          <w:lang w:val="es-AR"/>
        </w:rPr>
        <w:t>alismo social en Europa</w:t>
      </w:r>
      <w:r>
        <w:rPr>
          <w:rStyle w:val="Refdenotaalpie"/>
          <w:rFonts w:ascii="Times New Roman" w:hAnsi="Times New Roman"/>
          <w:sz w:val="24"/>
          <w:szCs w:val="24"/>
          <w:lang w:val="es-AR"/>
        </w:rPr>
        <w:footnoteReference w:id="32"/>
      </w:r>
      <w:r>
        <w:rPr>
          <w:rFonts w:ascii="Times New Roman" w:hAnsi="Times New Roman"/>
          <w:sz w:val="24"/>
          <w:szCs w:val="24"/>
          <w:lang w:val="es-AR"/>
        </w:rPr>
        <w:t>. La versión original de la Constitución de 1976 tenía una fuerte impronta ideológica: entre los “principios fundamentales”, se proclamaba como fines de la República “la transformación en una sociedad sin clases” (artículo 1) y “ase</w:t>
      </w:r>
      <w:r>
        <w:rPr>
          <w:rFonts w:ascii="Times New Roman" w:hAnsi="Times New Roman"/>
          <w:sz w:val="24"/>
          <w:szCs w:val="24"/>
          <w:lang w:val="es-AR"/>
        </w:rPr>
        <w:t>gurar la transición al socialismo mediante la creación de condiciones para el ejercicio democrático del poder por las clases trabajadoras” (artículo 2), y como tareas fundamentales del Estado “socializar los medios de producción y la riqueza, a través de r</w:t>
      </w:r>
      <w:r>
        <w:rPr>
          <w:rFonts w:ascii="Times New Roman" w:hAnsi="Times New Roman"/>
          <w:sz w:val="24"/>
          <w:szCs w:val="24"/>
          <w:lang w:val="es-AR"/>
        </w:rPr>
        <w:t>eformas adecuadas a las características del período histórico presente, crear las condiciones que permitan promover el bienestar y la calidad de vida del pueblo, especialmente de las clases trabajadoras, e abolir la explotación y la opresión del hombre por</w:t>
      </w:r>
      <w:r>
        <w:rPr>
          <w:rFonts w:ascii="Times New Roman" w:hAnsi="Times New Roman"/>
          <w:sz w:val="24"/>
          <w:szCs w:val="24"/>
          <w:lang w:val="es-AR"/>
        </w:rPr>
        <w:t xml:space="preserve"> el hombre” (artículo 9 c). En el mismo sentido, la Constitución contenía un artículo según el cual “la apropiación colectiva de los principales medios de producción, la planificación del desarrollo económico y la democratización de las instituciones son g</w:t>
      </w:r>
      <w:r>
        <w:rPr>
          <w:rFonts w:ascii="Times New Roman" w:hAnsi="Times New Roman"/>
          <w:sz w:val="24"/>
          <w:szCs w:val="24"/>
          <w:lang w:val="es-AR"/>
        </w:rPr>
        <w:t>arantías y condiciones para la efectividad de los derechos y deberes económicos, sociales y culturales” (artículo 50). Este lenguaje fue modificado, con el propósito de “desideologizar” la constitución, en sendas reformas realizadas a partir de 1982. El ar</w:t>
      </w:r>
      <w:r>
        <w:rPr>
          <w:rFonts w:ascii="Times New Roman" w:hAnsi="Times New Roman"/>
          <w:sz w:val="24"/>
          <w:szCs w:val="24"/>
          <w:lang w:val="es-AR"/>
        </w:rPr>
        <w:t xml:space="preserve">tículo 50 fue eliminado, y de acuerdo con la actual redacción del artículo 2, el respectivo objetivo del Estado pasó a ser “la realización de la democracia económica, social y cultural, y la profundización de la democracia participativa”, y  su respectiva </w:t>
      </w:r>
      <w:r>
        <w:rPr>
          <w:rFonts w:ascii="Times New Roman" w:hAnsi="Times New Roman"/>
          <w:sz w:val="24"/>
          <w:szCs w:val="24"/>
          <w:lang w:val="es-AR"/>
        </w:rPr>
        <w:t xml:space="preserve">tarea fundamental la de “promover el bienestar y calidad de vida del pueblo, la igualdad real entre los portugueses y la efectividad de los derechos económicos, sociales, </w:t>
      </w:r>
      <w:r>
        <w:rPr>
          <w:rFonts w:ascii="Times New Roman" w:hAnsi="Times New Roman"/>
          <w:sz w:val="24"/>
          <w:szCs w:val="24"/>
          <w:lang w:val="es-AR"/>
        </w:rPr>
        <w:lastRenderedPageBreak/>
        <w:t>culturales y ambientales, mediante la transformación y modernización de las estructur</w:t>
      </w:r>
      <w:r>
        <w:rPr>
          <w:rFonts w:ascii="Times New Roman" w:hAnsi="Times New Roman"/>
          <w:sz w:val="24"/>
          <w:szCs w:val="24"/>
          <w:lang w:val="es-AR"/>
        </w:rPr>
        <w:t>as económicas y sociales” (artículo 9 d).</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todo caso, amén de las declaraciones generales sobre fines y tareas fundamentales del Estado, la constitución – tanto en su versión original como en las sucesivas enmiendas – contiene un importante elenco de der</w:t>
      </w:r>
      <w:r>
        <w:rPr>
          <w:rFonts w:ascii="Times New Roman" w:hAnsi="Times New Roman"/>
          <w:sz w:val="24"/>
          <w:szCs w:val="24"/>
          <w:lang w:val="es-AR"/>
        </w:rPr>
        <w:t xml:space="preserve">echos económicos, sociales, culturales y ambientales, y una lista no menos extensa de mandatos para el Estado en materia económica y social, redactados con gran detalle. La parte de la Constitución dedicada a los “Derechos y Deberes Fundamentales” incluye </w:t>
      </w:r>
      <w:r>
        <w:rPr>
          <w:rFonts w:ascii="Times New Roman" w:hAnsi="Times New Roman"/>
          <w:sz w:val="24"/>
          <w:szCs w:val="24"/>
          <w:lang w:val="es-AR"/>
        </w:rPr>
        <w:t>un título sobre “Derechos, libertades y garantías personales” – que, además de derechos civiles y políticos, incorpora un capítulo sobre “Derechos, libertades y garantías del trabajador” – y otro título sobre “Derechos y deberes económicos, sociales y cult</w:t>
      </w:r>
      <w:r>
        <w:rPr>
          <w:rFonts w:ascii="Times New Roman" w:hAnsi="Times New Roman"/>
          <w:sz w:val="24"/>
          <w:szCs w:val="24"/>
          <w:lang w:val="es-AR"/>
        </w:rPr>
        <w:t xml:space="preserve">urales” – dividido a su vez en tres capítulos dedicados respectivamente a los derechos y deberes económicos, sociales y culturales.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Entre los derechos y deberes de los trabajadores se incluyen la protección contra el despido, la libertad sindical y la lib</w:t>
      </w:r>
      <w:r>
        <w:rPr>
          <w:rFonts w:ascii="Times New Roman" w:hAnsi="Times New Roman"/>
          <w:sz w:val="24"/>
          <w:szCs w:val="24"/>
          <w:lang w:val="es-AR"/>
        </w:rPr>
        <w:t>ertad de formación de comités de empresa, el derecho a la negociación colectiva, el derecho de huelga y la prohibición del lock out. Bajo “derechos y deberes económicos” se enlistan el derecho al trabajo, los derechos laborales individuales, los derechos d</w:t>
      </w:r>
      <w:r>
        <w:rPr>
          <w:rFonts w:ascii="Times New Roman" w:hAnsi="Times New Roman"/>
          <w:sz w:val="24"/>
          <w:szCs w:val="24"/>
          <w:lang w:val="es-AR"/>
        </w:rPr>
        <w:t xml:space="preserve">e los consumidores, la libre iniciativa privada, subordinada al interés general, el derecho a formar cooperativas y el derecho de propiedad. Los artículos referidos al derecho al trabajo, derechos laborales individuales  identifican además las respectivas </w:t>
      </w:r>
      <w:r>
        <w:rPr>
          <w:rFonts w:ascii="Times New Roman" w:hAnsi="Times New Roman"/>
          <w:sz w:val="24"/>
          <w:szCs w:val="24"/>
          <w:lang w:val="es-AR"/>
        </w:rPr>
        <w:t>obligaciones estatales para hacerlos efectivos. Bajo el catálogo de derechos y deberes sociales aparecen  el derecho a la seguridad social,   el derecho a la salud, el derecho a una vivienda adecuada, el derecho a un medio ambiente sano y ecológicamente eq</w:t>
      </w:r>
      <w:r>
        <w:rPr>
          <w:rFonts w:ascii="Times New Roman" w:hAnsi="Times New Roman"/>
          <w:sz w:val="24"/>
          <w:szCs w:val="24"/>
          <w:lang w:val="es-AR"/>
        </w:rPr>
        <w:t>uilibrado, el derecho a la protección de la familia, de la maternidad y paternidad, de la niñez, de la juventud, de las personas con discapacidad y de las personas de la tercera edad. También en este caso las respectivas disposiciones identifican las medid</w:t>
      </w:r>
      <w:r>
        <w:rPr>
          <w:rFonts w:ascii="Times New Roman" w:hAnsi="Times New Roman"/>
          <w:sz w:val="24"/>
          <w:szCs w:val="24"/>
          <w:lang w:val="es-AR"/>
        </w:rPr>
        <w:t>as que el Estado debe adoptar para garantizar los derechos: entre ellos se destacan la obligación de organizar y coordinar un sistema  de seguridad social unificado y descentralizado, y la de establecer un sistema de salud universal y general, tendencialme</w:t>
      </w:r>
      <w:r>
        <w:rPr>
          <w:rFonts w:ascii="Times New Roman" w:hAnsi="Times New Roman"/>
          <w:sz w:val="24"/>
          <w:szCs w:val="24"/>
          <w:lang w:val="es-AR"/>
        </w:rPr>
        <w:t>nte gratuito.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capítulo destinado a los derechos y deberes culturales contiene los derechos a la educación y a la cultura. En materia de educación, se encomienda al Estado – entre otros mandatos - asegurar la educación básica universal, obligatoria y gra</w:t>
      </w:r>
      <w:r>
        <w:rPr>
          <w:rFonts w:ascii="Times New Roman" w:hAnsi="Times New Roman"/>
          <w:sz w:val="24"/>
          <w:szCs w:val="24"/>
          <w:lang w:val="es-AR"/>
        </w:rPr>
        <w:t xml:space="preserve">tuita, crear un sistema público de educación,  garantizar la educación preescolar, garantizar a todos los ciudadanos, de acuerdo con sus capacidades, el acceso a los más elevados niveles de enseñanza, de investigación científica y de creación artística, y </w:t>
      </w:r>
      <w:r>
        <w:rPr>
          <w:rFonts w:ascii="Times New Roman" w:hAnsi="Times New Roman"/>
          <w:sz w:val="24"/>
          <w:szCs w:val="24"/>
          <w:lang w:val="es-AR"/>
        </w:rPr>
        <w:t>establecer progresivamente la gratuidad en todos los niveles educativos. Se establecen deberes educativos específicos respecto de las personas con discapacidad y de los hijos de migrantes. Otras disposiciones garantizan la igualdad de oportunidades en el i</w:t>
      </w:r>
      <w:r>
        <w:rPr>
          <w:rFonts w:ascii="Times New Roman" w:hAnsi="Times New Roman"/>
          <w:sz w:val="24"/>
          <w:szCs w:val="24"/>
          <w:lang w:val="es-AR"/>
        </w:rPr>
        <w:t>ngreso a la universidad, la autonomía universitaria, el derecho de profesores y alumnos de participar en la gestión democrática de las escuelas,  y disponen la fiscalización estatal de la enseñanza privada y cooperativa. El Estado promueve además el acceso</w:t>
      </w:r>
      <w:r>
        <w:rPr>
          <w:rFonts w:ascii="Times New Roman" w:hAnsi="Times New Roman"/>
          <w:sz w:val="24"/>
          <w:szCs w:val="24"/>
          <w:lang w:val="es-AR"/>
        </w:rPr>
        <w:t xml:space="preserve"> igualitario a los medios e instrumentos de acción cultural, apoya las iniciativas culturales y la salvaguardia y valorización del patrimonio cultural. La Constitución reconoce </w:t>
      </w:r>
      <w:r>
        <w:rPr>
          <w:rFonts w:ascii="Times New Roman" w:hAnsi="Times New Roman"/>
          <w:sz w:val="24"/>
          <w:szCs w:val="24"/>
          <w:lang w:val="es-AR"/>
        </w:rPr>
        <w:lastRenderedPageBreak/>
        <w:t>también el derecho a la cultura física y al deporte, y encomienda al Estado pro</w:t>
      </w:r>
      <w:r>
        <w:rPr>
          <w:rFonts w:ascii="Times New Roman" w:hAnsi="Times New Roman"/>
          <w:sz w:val="24"/>
          <w:szCs w:val="24"/>
          <w:lang w:val="es-AR"/>
        </w:rPr>
        <w:t>moverlos y estimularlos, en coordinación con las escuelas, asociaciones y colectividades deportivas.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parte dedicada a “Derechos y deberes fundamentales” incluye además un título de “Principios generales”. En este título se incluyen disposiciones sobre “</w:t>
      </w:r>
      <w:r>
        <w:rPr>
          <w:rFonts w:ascii="Times New Roman" w:hAnsi="Times New Roman"/>
          <w:sz w:val="24"/>
          <w:szCs w:val="24"/>
          <w:lang w:val="es-AR"/>
        </w:rPr>
        <w:t>fuerza jurídica” (artículo 18), de acuerdo con el cual “los preceptos constitucionales referidos a los derechos, libertades y garantías son directamente aplicables y vinculan a las entidades públicas y privadas”, y sobre “acceso al derecho y tutela jurisdi</w:t>
      </w:r>
      <w:r>
        <w:rPr>
          <w:rFonts w:ascii="Times New Roman" w:hAnsi="Times New Roman"/>
          <w:sz w:val="24"/>
          <w:szCs w:val="24"/>
          <w:lang w:val="es-AR"/>
        </w:rPr>
        <w:t>ccional efectiva” (artículo 20) que si bien garantiza a todos  “el acceso al derecho y a los tribunales para la defensa de sus derechos e intereses legalmente protegidos”, parece establecer un régimen de protección diferenciada a favor de los llamados “der</w:t>
      </w:r>
      <w:r>
        <w:rPr>
          <w:rFonts w:ascii="Times New Roman" w:hAnsi="Times New Roman"/>
          <w:sz w:val="24"/>
          <w:szCs w:val="24"/>
          <w:lang w:val="es-AR"/>
        </w:rPr>
        <w:t>echos, libertades y garantías personales”, según el cual “la ley asegura a los ciudadanos procedimientos judiciales caracterizados por la celeridad y prioridad, de modo de obtener la tutela efectiva y en tiempo útil contra las amenazas o violaciones de est</w:t>
      </w:r>
      <w:r>
        <w:rPr>
          <w:rFonts w:ascii="Times New Roman" w:hAnsi="Times New Roman"/>
          <w:sz w:val="24"/>
          <w:szCs w:val="24"/>
          <w:lang w:val="es-AR"/>
        </w:rPr>
        <w:t>os derechos”. La doctrina constitucional portuguesa y la jurisprudencia constitucional, sin embargo, han relativizado esta distinción, subrayando que también los derechos, libertades y garantías de los trabajadores, y los derechos económicos, sociales y cu</w:t>
      </w:r>
      <w:r>
        <w:rPr>
          <w:rFonts w:ascii="Times New Roman" w:hAnsi="Times New Roman"/>
          <w:sz w:val="24"/>
          <w:szCs w:val="24"/>
          <w:lang w:val="es-AR"/>
        </w:rPr>
        <w:t>lturales vinculan a los poderes públicos y son tutelables en sede judicial. El Tribunal Constitucional portugués ha desarrollado una interesante jurisprudencia en materia de derechos sociales.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 Además, la Constitución portuguesa dedica una extensa parte a </w:t>
      </w:r>
      <w:r>
        <w:rPr>
          <w:rFonts w:ascii="Times New Roman" w:hAnsi="Times New Roman"/>
          <w:sz w:val="24"/>
          <w:szCs w:val="24"/>
          <w:lang w:val="es-AR"/>
        </w:rPr>
        <w:t xml:space="preserve">la organización económica, que complementa el reconocimiento de derechos económicos, sociales y culturales y las obligaciones estatales en la materia. También esta parte sufrió cambios importantes: el texto original de 1975 se caracterizaba por una fuerte </w:t>
      </w:r>
      <w:r>
        <w:rPr>
          <w:rFonts w:ascii="Times New Roman" w:hAnsi="Times New Roman"/>
          <w:sz w:val="24"/>
          <w:szCs w:val="24"/>
          <w:lang w:val="es-AR"/>
        </w:rPr>
        <w:t>tendencia socializante, mientras que las sucesivas reformas instauran un régimen económico mixto, con mayor espacio para la iniciativa y propiedad privada.  Entre las incumbencias del Estado en materia económica y social, se incluyen las de ”promover el au</w:t>
      </w:r>
      <w:r>
        <w:rPr>
          <w:rFonts w:ascii="Times New Roman" w:hAnsi="Times New Roman"/>
          <w:sz w:val="24"/>
          <w:szCs w:val="24"/>
          <w:lang w:val="es-AR"/>
        </w:rPr>
        <w:t>mento del bienestar social y económico y de la calidad de vida de las personas, en especial de las más desfavorecidas, en el marco de una estrategia de desarrollo sustentable” y “promover la justicia social, asegurar la igualdad de oportunidades y efectuar</w:t>
      </w:r>
      <w:r>
        <w:rPr>
          <w:rFonts w:ascii="Times New Roman" w:hAnsi="Times New Roman"/>
          <w:sz w:val="24"/>
          <w:szCs w:val="24"/>
          <w:lang w:val="es-AR"/>
        </w:rPr>
        <w:t xml:space="preserve"> las correcciones necesarias de las desigualdades en la distribución de la riqueza y del rendimiento, particularmente a través de la política fiscal”. Para ello la Constitución prevé una pluralidad de formas de propiedad, incluyendo la pública, la privada </w:t>
      </w:r>
      <w:r>
        <w:rPr>
          <w:rFonts w:ascii="Times New Roman" w:hAnsi="Times New Roman"/>
          <w:sz w:val="24"/>
          <w:szCs w:val="24"/>
          <w:lang w:val="es-AR"/>
        </w:rPr>
        <w:t>y la cooperativa o social,  el incentivo público de la actividad empresarial, con fiscalización pública del cumplimiento de obligaciones legales por parte de las empresas, la posibilidad de expropiación de los medios de producción en abandono y  la partici</w:t>
      </w:r>
      <w:r>
        <w:rPr>
          <w:rFonts w:ascii="Times New Roman" w:hAnsi="Times New Roman"/>
          <w:sz w:val="24"/>
          <w:szCs w:val="24"/>
          <w:lang w:val="es-AR"/>
        </w:rPr>
        <w:t>pación de los trabajadores en la gestión de la empresa, la adopción de planes de desarrollo económico,  y establece objetivos de política pública de orientación social en materia agrícola, comercial e industrial.  En el mismo sentido se orientan las dispos</w:t>
      </w:r>
      <w:r>
        <w:rPr>
          <w:rFonts w:ascii="Times New Roman" w:hAnsi="Times New Roman"/>
          <w:sz w:val="24"/>
          <w:szCs w:val="24"/>
          <w:lang w:val="es-AR"/>
        </w:rPr>
        <w:t>iciones en materia de política financiera y fiscal.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La constitución portuguesa ha tenido importante influencia – en particular en materia social – en la experiencia constitucional brasileña de 1988, y en la de países africanos lusófonos como Angola (1992, </w:t>
      </w:r>
      <w:r>
        <w:rPr>
          <w:rFonts w:ascii="Times New Roman" w:hAnsi="Times New Roman"/>
          <w:sz w:val="24"/>
          <w:szCs w:val="24"/>
          <w:lang w:val="es-AR"/>
        </w:rPr>
        <w:t>2010), Cabo Verde (1990, 2010), Guinea Bissau (1984, 1993), Mozambique (2004) y Santo Tomé y Príncipe (1990, 2003).</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española de 1978, que sienta las bases de la democracia después de cuarenta años de régimen autocrático, recoge en materia s</w:t>
      </w:r>
      <w:r>
        <w:rPr>
          <w:rFonts w:ascii="Times New Roman" w:hAnsi="Times New Roman"/>
          <w:sz w:val="24"/>
          <w:szCs w:val="24"/>
          <w:lang w:val="es-AR"/>
        </w:rPr>
        <w:t xml:space="preserve">ocial influencias de la Ley Fundamental </w:t>
      </w:r>
      <w:r>
        <w:rPr>
          <w:rFonts w:ascii="Times New Roman" w:hAnsi="Times New Roman"/>
          <w:sz w:val="24"/>
          <w:szCs w:val="24"/>
          <w:lang w:val="es-AR"/>
        </w:rPr>
        <w:lastRenderedPageBreak/>
        <w:t>alemana, de la constitución italiana, de la portuguesa, de la irlandesa de 1937 y de la doctrina dominante en Francia</w:t>
      </w:r>
      <w:r>
        <w:rPr>
          <w:rStyle w:val="Refdenotaalpie"/>
          <w:rFonts w:ascii="Times New Roman" w:hAnsi="Times New Roman"/>
          <w:sz w:val="24"/>
          <w:szCs w:val="24"/>
          <w:lang w:val="es-AR"/>
        </w:rPr>
        <w:footnoteReference w:id="33"/>
      </w:r>
      <w:r>
        <w:rPr>
          <w:rFonts w:ascii="Times New Roman" w:hAnsi="Times New Roman"/>
          <w:sz w:val="24"/>
          <w:szCs w:val="24"/>
          <w:lang w:val="es-AR"/>
        </w:rPr>
        <w:t>. La adopción de la fórmula del “Estado social y democrático de derecho” la vincula con la experie</w:t>
      </w:r>
      <w:r>
        <w:rPr>
          <w:rFonts w:ascii="Times New Roman" w:hAnsi="Times New Roman"/>
          <w:sz w:val="24"/>
          <w:szCs w:val="24"/>
          <w:lang w:val="es-AR"/>
        </w:rPr>
        <w:t>ncia alemana; la fórmula del artículo 9.2, que establece como deber de los poderes públicos “promover las condiciones para que la libertad y la igualdad del individuo y de los grupos en que se integra sean reales y efectivas; remover los obstáculos que imp</w:t>
      </w:r>
      <w:r>
        <w:rPr>
          <w:rFonts w:ascii="Times New Roman" w:hAnsi="Times New Roman"/>
          <w:sz w:val="24"/>
          <w:szCs w:val="24"/>
          <w:lang w:val="es-AR"/>
        </w:rPr>
        <w:t>idan o dificulten su plenitud y facilitar la participación de todos los ciudadanos en la vida política, económica, cultural y social” la emparenta con la constitución italiana. El catálogo de derechos sociales mencionados en la constitución y su categoriza</w:t>
      </w:r>
      <w:r>
        <w:rPr>
          <w:rFonts w:ascii="Times New Roman" w:hAnsi="Times New Roman"/>
          <w:sz w:val="24"/>
          <w:szCs w:val="24"/>
          <w:lang w:val="es-AR"/>
        </w:rPr>
        <w:t>ción escalonada la acerca a la constitución portuguesa, mientras que la distinción entre “derechos y libertades” y “principios rectores de la política económica y social” sigue la línea de la doctrina francesa de la época y de textos vinculados a la tradic</w:t>
      </w:r>
      <w:r>
        <w:rPr>
          <w:rFonts w:ascii="Times New Roman" w:hAnsi="Times New Roman"/>
          <w:sz w:val="24"/>
          <w:szCs w:val="24"/>
          <w:lang w:val="es-AR"/>
        </w:rPr>
        <w:t>ión anglosajona, como la constitución irlandesa de 1937 y otras similares.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materia de derechos sociales, la Constitución distingue, bajo el título de “Derechos y deberes fundamentales” entre derechos fundamentales y libertades públicas, derechos y deber</w:t>
      </w:r>
      <w:r>
        <w:rPr>
          <w:rFonts w:ascii="Times New Roman" w:hAnsi="Times New Roman"/>
          <w:sz w:val="24"/>
          <w:szCs w:val="24"/>
          <w:lang w:val="es-AR"/>
        </w:rPr>
        <w:t>es de los ciudadanos, y principios rectores de la política económica y social, aunque la ubicación de los derechos en las respectivas categorías no sigue estrictamente un criterio de distinción entre derechos civiles y políticos y derechos sociales, o dere</w:t>
      </w:r>
      <w:r>
        <w:rPr>
          <w:rFonts w:ascii="Times New Roman" w:hAnsi="Times New Roman"/>
          <w:sz w:val="24"/>
          <w:szCs w:val="24"/>
          <w:lang w:val="es-AR"/>
        </w:rPr>
        <w:t>chos de libertad y derechos prestacionales.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Entre los derechos fundamentales se incluyen el derecho a la educación, la libertad sindical y el derecho a la huelga.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Bajo el título de derechos y deberes de los ciudadanos se enlistan el principio de progresivi</w:t>
      </w:r>
      <w:r>
        <w:rPr>
          <w:rFonts w:ascii="Times New Roman" w:hAnsi="Times New Roman"/>
          <w:sz w:val="24"/>
          <w:szCs w:val="24"/>
          <w:lang w:val="es-AR"/>
        </w:rPr>
        <w:t>dad del sistema tributario, la función social de la propiedad, el deber de trabajar y el derecho al trabajo, y a una remuneración suficiente para satisfacer las necesidades propias y las de la familia,  el derecho a la negociación colectiva y el derecho de</w:t>
      </w:r>
      <w:r>
        <w:rPr>
          <w:rFonts w:ascii="Times New Roman" w:hAnsi="Times New Roman"/>
          <w:sz w:val="24"/>
          <w:szCs w:val="24"/>
          <w:lang w:val="es-AR"/>
        </w:rPr>
        <w:t xml:space="preserve"> trabajadores y empresarios a adoptar medidas de conflicto colectivo, y la subordinación de la libertad de empresa a las exigencias de la economía general y, en su caso, de la planificación.</w:t>
      </w:r>
    </w:p>
    <w:p w:rsidR="00000000" w:rsidRDefault="007B5A38">
      <w:pPr>
        <w:jc w:val="both"/>
        <w:rPr>
          <w:rFonts w:ascii="Times New Roman" w:hAnsi="Times New Roman"/>
          <w:sz w:val="24"/>
          <w:szCs w:val="24"/>
          <w:lang w:val="es-AR"/>
        </w:rPr>
      </w:pPr>
      <w:r>
        <w:rPr>
          <w:rFonts w:ascii="Times New Roman" w:hAnsi="Times New Roman"/>
          <w:sz w:val="24"/>
          <w:szCs w:val="24"/>
          <w:lang w:val="es-AR"/>
        </w:rPr>
        <w:t>Finalmente, la Constitución española caracteriza como “principios</w:t>
      </w:r>
      <w:r>
        <w:rPr>
          <w:rFonts w:ascii="Times New Roman" w:hAnsi="Times New Roman"/>
          <w:sz w:val="24"/>
          <w:szCs w:val="24"/>
          <w:lang w:val="es-AR"/>
        </w:rPr>
        <w:t xml:space="preserve"> rectores de la política económica y social” la protección de la familia y de la infancia, la promoción de las condiciones para el progreso social y económico, la distribución más equitativa de la rente y el pleno empleo, el fomento de la formación y reada</w:t>
      </w:r>
      <w:r>
        <w:rPr>
          <w:rFonts w:ascii="Times New Roman" w:hAnsi="Times New Roman"/>
          <w:sz w:val="24"/>
          <w:szCs w:val="24"/>
          <w:lang w:val="es-AR"/>
        </w:rPr>
        <w:t xml:space="preserve">ptación profesionales, la supervisión de la seguridad e higiene en el trabajo, la garantía de descansos, limitación de la jornada laboral y vacaciones pagas, el mantenimiento de un régimen público de seguridad social con asistencia y prestaciones sociales </w:t>
      </w:r>
      <w:r>
        <w:rPr>
          <w:rFonts w:ascii="Times New Roman" w:hAnsi="Times New Roman"/>
          <w:sz w:val="24"/>
          <w:szCs w:val="24"/>
          <w:lang w:val="es-AR"/>
        </w:rPr>
        <w:t>en situaciones de necesidad, la salvaguardia de los derechos económicos y sociales de los trabajadores españoles en el extranjero, el derecho a la protección de la salud y la correlativa organización y tutela de la salud pública a través de medidas prevent</w:t>
      </w:r>
      <w:r>
        <w:rPr>
          <w:rFonts w:ascii="Times New Roman" w:hAnsi="Times New Roman"/>
          <w:sz w:val="24"/>
          <w:szCs w:val="24"/>
          <w:lang w:val="es-AR"/>
        </w:rPr>
        <w:t xml:space="preserve">ivas y </w:t>
      </w:r>
      <w:r>
        <w:rPr>
          <w:rFonts w:ascii="Times New Roman" w:hAnsi="Times New Roman"/>
          <w:sz w:val="24"/>
          <w:szCs w:val="24"/>
          <w:lang w:val="es-AR"/>
        </w:rPr>
        <w:lastRenderedPageBreak/>
        <w:t xml:space="preserve">prestaciones y servicios necesarios, y el fomento de la educación sanitaria, la promoción y tutela del acceso a la cultural – que se reconoce como un derecho de todos –, la promoción de la ciencia e investigación científica y técnica, el derecho de </w:t>
      </w:r>
      <w:r>
        <w:rPr>
          <w:rFonts w:ascii="Times New Roman" w:hAnsi="Times New Roman"/>
          <w:sz w:val="24"/>
          <w:szCs w:val="24"/>
          <w:lang w:val="es-AR"/>
        </w:rPr>
        <w:t>todos de disfrutar un medio ambiente adecuada y el deber de conservarlo, y la utilización racional de los recursos naturales, la conservación y enriquecimiento del patrimonio histórico, cultural y artístico, el derecho de todos los españoles de disfrutar d</w:t>
      </w:r>
      <w:r>
        <w:rPr>
          <w:rFonts w:ascii="Times New Roman" w:hAnsi="Times New Roman"/>
          <w:sz w:val="24"/>
          <w:szCs w:val="24"/>
          <w:lang w:val="es-AR"/>
        </w:rPr>
        <w:t>e una vivienda digna y adecuada y la regulación de la utilización del suelo para impedir la especulación, la participación de la juventud en el desarrollo político, económico, social y cultural, la atención a las personas con discapacidad, la protección de</w:t>
      </w:r>
      <w:r>
        <w:rPr>
          <w:rFonts w:ascii="Times New Roman" w:hAnsi="Times New Roman"/>
          <w:sz w:val="24"/>
          <w:szCs w:val="24"/>
          <w:lang w:val="es-AR"/>
        </w:rPr>
        <w:t xml:space="preserve"> las personas de la tercera edad en materia de ingreso, salud, vivienda, cultura y ocio, la defensa de los consumidores y usuarios y la regulación de las organizaciones profesionales.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artículo 53 establece una tutela diferenciada a derechos y libertades</w:t>
      </w:r>
      <w:r>
        <w:rPr>
          <w:rFonts w:ascii="Times New Roman" w:hAnsi="Times New Roman"/>
          <w:sz w:val="24"/>
          <w:szCs w:val="24"/>
          <w:lang w:val="es-AR"/>
        </w:rPr>
        <w:t xml:space="preserve"> y principios rectores respectivamente: los primeros vinculan a todos los poderes públicos, la regulación de su ejercicio está sujeta a la ley en sentido formal, que debe respetar su contenido esencial  y son objeto de tutela judicial por vía de amparo. En</w:t>
      </w:r>
      <w:r>
        <w:rPr>
          <w:rFonts w:ascii="Times New Roman" w:hAnsi="Times New Roman"/>
          <w:sz w:val="24"/>
          <w:szCs w:val="24"/>
          <w:lang w:val="es-AR"/>
        </w:rPr>
        <w:t xml:space="preserve"> contraste, los principios rectores “informarán la legislación positiva, la práctica judicial y la actuación de los poderes públicos” pero no habilitan la tutela por vía de amparo, y sólo pueden ser alegados ante la jurisdicción ordinaria  “de acuerdo con </w:t>
      </w:r>
      <w:r>
        <w:rPr>
          <w:rFonts w:ascii="Times New Roman" w:hAnsi="Times New Roman"/>
          <w:sz w:val="24"/>
          <w:szCs w:val="24"/>
          <w:lang w:val="es-AR"/>
        </w:rPr>
        <w:t>lo que dispongan las leyes que los desarrollen”.</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orientación social de la Constitución española de 1978 también se refleja en su parte orgánica, en particular en el título dedicado a “Economía y hacienda”. Allí se recoge la subordinación de la riqueza a</w:t>
      </w:r>
      <w:r>
        <w:rPr>
          <w:rFonts w:ascii="Times New Roman" w:hAnsi="Times New Roman"/>
          <w:sz w:val="24"/>
          <w:szCs w:val="24"/>
          <w:lang w:val="es-AR"/>
        </w:rPr>
        <w:t>l interés general, la posibilidad de reservar al sector público recursos o servicios esenciales y de acordar la intervención de empresas  por razones de interés general, la participación de los interesados en la seguridad social, la promoción de la partici</w:t>
      </w:r>
      <w:r>
        <w:rPr>
          <w:rFonts w:ascii="Times New Roman" w:hAnsi="Times New Roman"/>
          <w:sz w:val="24"/>
          <w:szCs w:val="24"/>
          <w:lang w:val="es-AR"/>
        </w:rPr>
        <w:t xml:space="preserve">pación de los trabajadores en la empresa y su acceso a la propiedad de los medios de producción, la modernización y desarrollo de todos los sectores económicos, con especial mención de “la agricultura, de la ganadería, de la pesca y de la artesanía, a fin </w:t>
      </w:r>
      <w:r>
        <w:rPr>
          <w:rFonts w:ascii="Times New Roman" w:hAnsi="Times New Roman"/>
          <w:sz w:val="24"/>
          <w:szCs w:val="24"/>
          <w:lang w:val="es-AR"/>
        </w:rPr>
        <w:t>de equiparar el nivel de vida de todos los españoles”, la posibilidad de que el Estado planifique la actividad económica general “para atender a las necesidades colectivas, equilibrar y armonizar el desarrollo regional y sectorial y estimular el crecimient</w:t>
      </w:r>
      <w:r>
        <w:rPr>
          <w:rFonts w:ascii="Times New Roman" w:hAnsi="Times New Roman"/>
          <w:sz w:val="24"/>
          <w:szCs w:val="24"/>
          <w:lang w:val="es-AR"/>
        </w:rPr>
        <w:t>o de  la renta y de la riqueza y su más justa distribución” y la regulación de los bienes de dominio público.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española de 1978, en particular en lo referente a la fórmula del Estado social y democrático de derecho, y en el catálogo de derec</w:t>
      </w:r>
      <w:r>
        <w:rPr>
          <w:rFonts w:ascii="Times New Roman" w:hAnsi="Times New Roman"/>
          <w:sz w:val="24"/>
          <w:szCs w:val="24"/>
          <w:lang w:val="es-AR"/>
        </w:rPr>
        <w:t>hos y mandatos en materia social y económica, ha influido en el lenguaje de muchas constituciones de América latina adoptadas en a finales del Siglo XX.</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El ciclo se completa con la “modernización” de algunas constituciones de orientación liberal: algunos </w:t>
      </w:r>
      <w:r>
        <w:rPr>
          <w:rFonts w:ascii="Times New Roman" w:hAnsi="Times New Roman"/>
          <w:sz w:val="24"/>
          <w:szCs w:val="24"/>
          <w:lang w:val="es-AR"/>
        </w:rPr>
        <w:t>países efectúan reformas constitucionales para incorporar cláusulas de derechos sociales. Es el caso de Luxemburgo (1948, 2004, 2007), Dinamarca (1953), Suecia (1974), Países Bajos (1983), Bélgica (1994) Finlandia (1995) y Suiza (1999).</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b/>
          <w:sz w:val="24"/>
          <w:szCs w:val="24"/>
          <w:lang w:val="es-AR"/>
        </w:rPr>
      </w:pPr>
      <w:r>
        <w:rPr>
          <w:rFonts w:ascii="Times New Roman" w:hAnsi="Times New Roman"/>
          <w:b/>
          <w:sz w:val="24"/>
          <w:szCs w:val="24"/>
          <w:lang w:val="es-ES_tradnl"/>
        </w:rPr>
        <w:lastRenderedPageBreak/>
        <w:t>2.5) La consolidac</w:t>
      </w:r>
      <w:r>
        <w:rPr>
          <w:rFonts w:ascii="Times New Roman" w:hAnsi="Times New Roman"/>
          <w:b/>
          <w:sz w:val="24"/>
          <w:szCs w:val="24"/>
          <w:lang w:val="es-ES_tradnl"/>
        </w:rPr>
        <w:t>ión del constitucionalismo social: América latina, Europa del Este, África</w:t>
      </w:r>
      <w:r>
        <w:rPr>
          <w:rFonts w:ascii="Times New Roman" w:hAnsi="Times New Roman"/>
          <w:b/>
          <w:sz w:val="24"/>
          <w:szCs w:val="24"/>
          <w:lang w:val="es-AR"/>
        </w:rPr>
        <w:t xml:space="preserve"> </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En esta sección presentaré brevemente – sin pretensión de exhaustividad – algunas tendencias del constitucionalismo de las últimas décadas en materia social.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América latina, la</w:t>
      </w:r>
      <w:r>
        <w:rPr>
          <w:rFonts w:ascii="Times New Roman" w:hAnsi="Times New Roman"/>
          <w:sz w:val="24"/>
          <w:szCs w:val="24"/>
          <w:lang w:val="es-AR"/>
        </w:rPr>
        <w:t xml:space="preserve"> ya referida proclividad en favor de la inclusión de derechos sociales en la constitución se profundiza con la ola de reformas constitucionales que caracteriza el período de consolidación democrática a partir de finales de la década de 1980. Dos hitos impo</w:t>
      </w:r>
      <w:r>
        <w:rPr>
          <w:rFonts w:ascii="Times New Roman" w:hAnsi="Times New Roman"/>
          <w:sz w:val="24"/>
          <w:szCs w:val="24"/>
          <w:lang w:val="es-AR"/>
        </w:rPr>
        <w:t xml:space="preserve">rtantes son las constituciones brasileña de 1988 y la colombiana de 1991, de clara orientación social.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brasileña de 1988</w:t>
      </w:r>
      <w:r>
        <w:rPr>
          <w:rStyle w:val="Refdenotaalpie"/>
          <w:rFonts w:ascii="Times New Roman" w:hAnsi="Times New Roman"/>
          <w:sz w:val="24"/>
          <w:szCs w:val="24"/>
          <w:lang w:val="es-AR"/>
        </w:rPr>
        <w:footnoteReference w:id="34"/>
      </w:r>
      <w:r>
        <w:rPr>
          <w:rFonts w:ascii="Times New Roman" w:hAnsi="Times New Roman"/>
          <w:sz w:val="24"/>
          <w:szCs w:val="24"/>
          <w:lang w:val="es-AR"/>
        </w:rPr>
        <w:t>, recogiendo la experiencia portuguesa en la materia, establece como objetivos fundamentales de la república “construi</w:t>
      </w:r>
      <w:r>
        <w:rPr>
          <w:rFonts w:ascii="Times New Roman" w:hAnsi="Times New Roman"/>
          <w:sz w:val="24"/>
          <w:szCs w:val="24"/>
          <w:lang w:val="es-AR"/>
        </w:rPr>
        <w:t>r una sociedad libre, justa y solidaria”, “garantizar el desarrollo nacional”, “erradicar la pobreza y la marginalidad”, “reducir las desigualdades sociales y regionales”, y “promover el bien de todos, sin preconceptos de origen, raza sexo, color, edad o c</w:t>
      </w:r>
      <w:r>
        <w:rPr>
          <w:rFonts w:ascii="Times New Roman" w:hAnsi="Times New Roman"/>
          <w:sz w:val="24"/>
          <w:szCs w:val="24"/>
          <w:lang w:val="es-AR"/>
        </w:rPr>
        <w:t>ualquier otra forma de discriminación”. La constitución de 1988 incluye algunas disposiciones de carácter social bajo el capítulo de “derechos y deberes individuales y colectivos” (función social de la propiedad, inembargabilidad de la pequeña propiedad ru</w:t>
      </w:r>
      <w:r>
        <w:rPr>
          <w:rFonts w:ascii="Times New Roman" w:hAnsi="Times New Roman"/>
          <w:sz w:val="24"/>
          <w:szCs w:val="24"/>
          <w:lang w:val="es-AR"/>
        </w:rPr>
        <w:t>ral, defensa del consumidor, las acciones de protección de bienes colectivos, incluyendo el medio ambiente y el patrimonio histórico y cultural) y dedica un capítulo específico a los “Derechos sociales”. En este capítulo se consagran los derechos a la educ</w:t>
      </w:r>
      <w:r>
        <w:rPr>
          <w:rFonts w:ascii="Times New Roman" w:hAnsi="Times New Roman"/>
          <w:sz w:val="24"/>
          <w:szCs w:val="24"/>
          <w:lang w:val="es-AR"/>
        </w:rPr>
        <w:t>ación, salud, trabajo, vivienda, al descanso y recreación, a la asistencia y seguridad social, a la protección de la maternidad y de la infancia y a la asistencia de los desamparados, y los derechos individuales y colectivos de los trabajadores, especifica</w:t>
      </w:r>
      <w:r>
        <w:rPr>
          <w:rFonts w:ascii="Times New Roman" w:hAnsi="Times New Roman"/>
          <w:sz w:val="24"/>
          <w:szCs w:val="24"/>
          <w:lang w:val="es-AR"/>
        </w:rPr>
        <w:t>dos con gran detalle.</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 La constitución establece además tribunales laborales especializados,  objetivos de política urbana y agrícola de orientación social, y un extenso título denominado “Del orden social”, en el que se especifican con gran detalle los ob</w:t>
      </w:r>
      <w:r>
        <w:rPr>
          <w:rFonts w:ascii="Times New Roman" w:hAnsi="Times New Roman"/>
          <w:sz w:val="24"/>
          <w:szCs w:val="24"/>
          <w:lang w:val="es-AR"/>
        </w:rPr>
        <w:t>jetivos de política pública y el contenido mínimo de la legislación en materia de protección social, salud, seguridad social, asistencia social, educación, cultura y deporte, ciencia y tecnología, medio ambiente, protección de la familia, de la niñez, juve</w:t>
      </w:r>
      <w:r>
        <w:rPr>
          <w:rFonts w:ascii="Times New Roman" w:hAnsi="Times New Roman"/>
          <w:sz w:val="24"/>
          <w:szCs w:val="24"/>
          <w:lang w:val="es-AR"/>
        </w:rPr>
        <w:t>ntud y adolescencia y de las personas de edad, y en materia indígena. De acuerdo con el principio general que corona el título VIII “el orden social tiene como base el primado del trabajo, e como objetivo el bienestar y la justicia sociales” (artículo 193)</w:t>
      </w:r>
      <w:r>
        <w:rPr>
          <w:rFonts w:ascii="Times New Roman" w:hAnsi="Times New Roman"/>
          <w:sz w:val="24"/>
          <w:szCs w:val="24"/>
          <w:lang w:val="es-AR"/>
        </w:rPr>
        <w:t>.</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Constitución política de Colombia, adoptada en 1991, representa otro hito importante, particularmente por el enorme desarrollo de la interpretación constitucional protagonizado por la Corte Constitucional creada por ese mismo instrumento en materia de</w:t>
      </w:r>
      <w:r>
        <w:rPr>
          <w:rFonts w:ascii="Times New Roman" w:hAnsi="Times New Roman"/>
          <w:sz w:val="24"/>
          <w:szCs w:val="24"/>
          <w:lang w:val="es-AR"/>
        </w:rPr>
        <w:t xml:space="preserve"> derechos </w:t>
      </w:r>
      <w:r>
        <w:rPr>
          <w:rFonts w:ascii="Times New Roman" w:hAnsi="Times New Roman"/>
          <w:sz w:val="24"/>
          <w:szCs w:val="24"/>
          <w:lang w:val="es-AR"/>
        </w:rPr>
        <w:lastRenderedPageBreak/>
        <w:t>fundamentales</w:t>
      </w:r>
      <w:r>
        <w:rPr>
          <w:rStyle w:val="Refdenotaalpie"/>
          <w:rFonts w:ascii="Times New Roman" w:hAnsi="Times New Roman"/>
          <w:sz w:val="24"/>
          <w:szCs w:val="24"/>
          <w:lang w:val="es-AR"/>
        </w:rPr>
        <w:footnoteReference w:id="35"/>
      </w:r>
      <w:r>
        <w:rPr>
          <w:rFonts w:ascii="Times New Roman" w:hAnsi="Times New Roman"/>
          <w:sz w:val="24"/>
          <w:szCs w:val="24"/>
          <w:lang w:val="es-AR"/>
        </w:rPr>
        <w:t>. La Constitución colombiana recoge evidentemente la influencia de la constitución española de 1978: define a Colombia como un “Estado social de derecho” fundado “en el respeto de la dignidad humana, en el trabajo y la solidaridad d</w:t>
      </w:r>
      <w:r>
        <w:rPr>
          <w:rFonts w:ascii="Times New Roman" w:hAnsi="Times New Roman"/>
          <w:sz w:val="24"/>
          <w:szCs w:val="24"/>
          <w:lang w:val="es-AR"/>
        </w:rPr>
        <w:t>e las personas que la integran y en la prevalencia del interés general” y encomienda a las autoridades “asegurar el cumplimiento de los deberes sociales del Estado y de los particulares”. En sentido similar a la Constitución española, la constitución colom</w:t>
      </w:r>
      <w:r>
        <w:rPr>
          <w:rFonts w:ascii="Times New Roman" w:hAnsi="Times New Roman"/>
          <w:sz w:val="24"/>
          <w:szCs w:val="24"/>
          <w:lang w:val="es-AR"/>
        </w:rPr>
        <w:t>biana distingue entre “derechos fundamentales” y “derechos económicos, sociales y culturales” y “derechos colectivos y del ambiente”, incluye una lista de derechos predominantemente civiles y políticos que denomina “de aplicación inmediata” (artículo 85) y</w:t>
      </w:r>
      <w:r>
        <w:rPr>
          <w:rFonts w:ascii="Times New Roman" w:hAnsi="Times New Roman"/>
          <w:sz w:val="24"/>
          <w:szCs w:val="24"/>
          <w:lang w:val="es-AR"/>
        </w:rPr>
        <w:t xml:space="preserve"> limita textualmente la acción de tutela (equivalente a la acción de amparo) a la protección de los derechos fundamentales (artículo 86).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Pese a que los denominados “derechos fundamentales” son mayoritariamente civiles y políticos, su catálogo incluye tam</w:t>
      </w:r>
      <w:r>
        <w:rPr>
          <w:rFonts w:ascii="Times New Roman" w:hAnsi="Times New Roman"/>
          <w:sz w:val="24"/>
          <w:szCs w:val="24"/>
          <w:lang w:val="es-AR"/>
        </w:rPr>
        <w:t>bién algunos derechos sociales, como el derecho a la protección especial del Estado “a aquellas personas que por su condición económica, física o mental, se encuentren en circunstancia de debilidad manifiesta”, el derecho al trabajo en condiciones dignas y</w:t>
      </w:r>
      <w:r>
        <w:rPr>
          <w:rFonts w:ascii="Times New Roman" w:hAnsi="Times New Roman"/>
          <w:sz w:val="24"/>
          <w:szCs w:val="24"/>
          <w:lang w:val="es-AR"/>
        </w:rPr>
        <w:t xml:space="preserve"> justas, con protección especial del Estado, y la libertad sindical. En el capítulo destinado a los derechos económicos y sociales se enlistan la protección de la familia, de la maternidad, los derechos de los niños y adolescentes, los derechos de las pers</w:t>
      </w:r>
      <w:r>
        <w:rPr>
          <w:rFonts w:ascii="Times New Roman" w:hAnsi="Times New Roman"/>
          <w:sz w:val="24"/>
          <w:szCs w:val="24"/>
          <w:lang w:val="es-AR"/>
        </w:rPr>
        <w:t xml:space="preserve">onas de la tercera edad, los derechos de las personas con discapacidad, el derecho a la seguridad social, con descripción detallada del régimen que deberá contener la ley, el derecho a la atención de la salud y al saneamiento ambiental a cargo del Estado, </w:t>
      </w:r>
      <w:r>
        <w:rPr>
          <w:rFonts w:ascii="Times New Roman" w:hAnsi="Times New Roman"/>
          <w:sz w:val="24"/>
          <w:szCs w:val="24"/>
          <w:lang w:val="es-AR"/>
        </w:rPr>
        <w:t xml:space="preserve">el derecho a la vivienda digna, el derecho a la recreación, práctica del deporte y aprovechamiento del tiempo libre, los derechos laborales individuales y colectivos, con especificación de los principios mínimos fundamentales que deben guiar el dictado de </w:t>
      </w:r>
      <w:r>
        <w:rPr>
          <w:rFonts w:ascii="Times New Roman" w:hAnsi="Times New Roman"/>
          <w:sz w:val="24"/>
          <w:szCs w:val="24"/>
          <w:lang w:val="es-AR"/>
        </w:rPr>
        <w:t>la ley, la función social y ecológica de la propiedad, la promoción del acceso a la propiedad, incluido el acceso a la tierra de los trabajadores agrarios, la protección estatal de la producción de alimentos, el derecho a la educación, la autonomía univers</w:t>
      </w:r>
      <w:r>
        <w:rPr>
          <w:rFonts w:ascii="Times New Roman" w:hAnsi="Times New Roman"/>
          <w:sz w:val="24"/>
          <w:szCs w:val="24"/>
          <w:lang w:val="es-AR"/>
        </w:rPr>
        <w:t>itaria, el acceso a la cultura, la protección del patrimonio cultural por parte del Estado y la gestión y control estatal del espectro electromagnético. En el capítulo dedicado a “derechos colectivos y del ambiente” se encuentran los derechos de consumidor</w:t>
      </w:r>
      <w:r>
        <w:rPr>
          <w:rFonts w:ascii="Times New Roman" w:hAnsi="Times New Roman"/>
          <w:sz w:val="24"/>
          <w:szCs w:val="24"/>
          <w:lang w:val="es-AR"/>
        </w:rPr>
        <w:t>es y usuarios, el derecho a gozar de un ambiente sano, la planificación estatal del manejo y gestión de los recursos naturales y la protección del espacio público.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aparente distinción textual de regímenes entre “derechos fundamentales” y derechos económ</w:t>
      </w:r>
      <w:r>
        <w:rPr>
          <w:rFonts w:ascii="Times New Roman" w:hAnsi="Times New Roman"/>
          <w:sz w:val="24"/>
          <w:szCs w:val="24"/>
          <w:lang w:val="es-AR"/>
        </w:rPr>
        <w:t xml:space="preserve">icos, sociales, culturales, colectivos y ambientales fue prontamente relativizada por la </w:t>
      </w:r>
      <w:r>
        <w:rPr>
          <w:rFonts w:ascii="Times New Roman" w:hAnsi="Times New Roman"/>
          <w:sz w:val="24"/>
          <w:szCs w:val="24"/>
          <w:lang w:val="es-AR"/>
        </w:rPr>
        <w:lastRenderedPageBreak/>
        <w:t>jurisprudencia de la Corte Constitucional colombiana, a partir de la combinación de una serie de criterios interpretativos. Entre los criterios interpretativos desarro</w:t>
      </w:r>
      <w:r>
        <w:rPr>
          <w:rFonts w:ascii="Times New Roman" w:hAnsi="Times New Roman"/>
          <w:sz w:val="24"/>
          <w:szCs w:val="24"/>
          <w:lang w:val="es-AR"/>
        </w:rPr>
        <w:t>llados por la Corte Constitucional se cuentan la interpretación de las obligaciones positivas del Estado a la luz de la fórmula del “Estado social de derecho”, la conexidad de los derechos económicos, sociales, culturales, colectivos y ambientales con dere</w:t>
      </w:r>
      <w:r>
        <w:rPr>
          <w:rFonts w:ascii="Times New Roman" w:hAnsi="Times New Roman"/>
          <w:sz w:val="24"/>
          <w:szCs w:val="24"/>
          <w:lang w:val="es-AR"/>
        </w:rPr>
        <w:t>chos incluidos en la lista de derechos fundamentales – en particular el derecho a la vida, el derecho al desarrollo de la personalidad y el derecho a la protección estatal de las personas en situación de desamparo – y el desarrollo de la noción – inspirada</w:t>
      </w:r>
      <w:r>
        <w:rPr>
          <w:rFonts w:ascii="Times New Roman" w:hAnsi="Times New Roman"/>
          <w:sz w:val="24"/>
          <w:szCs w:val="24"/>
          <w:lang w:val="es-AR"/>
        </w:rPr>
        <w:t xml:space="preserve"> en la experiencia constitucional francesa – de “bloque de constitucionalidad”, integrado por el catálogo de derechos reconocidos por la Constitución y por los tratados internacionales de derechos humanos ratificados por Colombia, empleando además como guí</w:t>
      </w:r>
      <w:r>
        <w:rPr>
          <w:rFonts w:ascii="Times New Roman" w:hAnsi="Times New Roman"/>
          <w:sz w:val="24"/>
          <w:szCs w:val="24"/>
          <w:lang w:val="es-AR"/>
        </w:rPr>
        <w:t xml:space="preserve">a interpretativa instrumentos internacionales de carácter no vinculante.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este sentido, la Corte Constitucional colombiana ha generado una extensísima jurisprudencia, desarrollada en ejercicio de la jurisdicción en sede de tutela, de acciones abstractas</w:t>
      </w:r>
      <w:r>
        <w:rPr>
          <w:rFonts w:ascii="Times New Roman" w:hAnsi="Times New Roman"/>
          <w:sz w:val="24"/>
          <w:szCs w:val="24"/>
          <w:lang w:val="es-AR"/>
        </w:rPr>
        <w:t xml:space="preserve"> de inconstitucionalidad y de acciones populares. La flexibilización de los requisitos de legitimación y de las formalidades para presentar acciones y el desarrollo de criterios procesales y sustantivos para seleccionar, atraer y consolidar asuntos similar</w:t>
      </w:r>
      <w:r>
        <w:rPr>
          <w:rFonts w:ascii="Times New Roman" w:hAnsi="Times New Roman"/>
          <w:sz w:val="24"/>
          <w:szCs w:val="24"/>
          <w:lang w:val="es-AR"/>
        </w:rPr>
        <w:t>es ha resultado en una jurisprudencia rica y vibrante en materia de derechos sociales, en la que se destacan innovaciones tales como la declaración del “estado de cosas inconstitucional”, la utilización de audiencias públicas y participación de terceros en</w:t>
      </w:r>
      <w:r>
        <w:rPr>
          <w:rFonts w:ascii="Times New Roman" w:hAnsi="Times New Roman"/>
          <w:sz w:val="24"/>
          <w:szCs w:val="24"/>
          <w:lang w:val="es-AR"/>
        </w:rPr>
        <w:t xml:space="preserve"> calidad de </w:t>
      </w:r>
      <w:r>
        <w:rPr>
          <w:rFonts w:ascii="Times New Roman" w:hAnsi="Times New Roman"/>
          <w:i/>
          <w:sz w:val="24"/>
          <w:szCs w:val="24"/>
          <w:lang w:val="es-AR"/>
        </w:rPr>
        <w:t>amici curiae</w:t>
      </w:r>
      <w:r>
        <w:rPr>
          <w:rFonts w:ascii="Times New Roman" w:hAnsi="Times New Roman"/>
          <w:sz w:val="24"/>
          <w:szCs w:val="24"/>
          <w:lang w:val="es-AR"/>
        </w:rPr>
        <w:t xml:space="preserve"> en causas de interés público, y el establecimiento de instancias de seguimiento del cumplimiento de sentencias con órdenes complejas, incluyendo el empleo de indicadores y la designación de veedores de la ejecución.</w:t>
      </w:r>
    </w:p>
    <w:p w:rsidR="00000000" w:rsidRDefault="007B5A38">
      <w:pPr>
        <w:jc w:val="both"/>
        <w:rPr>
          <w:rFonts w:ascii="Times New Roman" w:hAnsi="Times New Roman"/>
          <w:sz w:val="24"/>
          <w:szCs w:val="24"/>
          <w:lang w:val="es-AR"/>
        </w:rPr>
      </w:pPr>
      <w:r>
        <w:rPr>
          <w:rFonts w:ascii="Times New Roman" w:hAnsi="Times New Roman"/>
          <w:sz w:val="24"/>
          <w:szCs w:val="24"/>
          <w:lang w:val="es-AR"/>
        </w:rPr>
        <w:t>Otras constituc</w:t>
      </w:r>
      <w:r>
        <w:rPr>
          <w:rFonts w:ascii="Times New Roman" w:hAnsi="Times New Roman"/>
          <w:sz w:val="24"/>
          <w:szCs w:val="24"/>
          <w:lang w:val="es-AR"/>
        </w:rPr>
        <w:t>iones o reformas recientes que se enrolan en esta tendencia</w:t>
      </w:r>
      <w:r>
        <w:rPr>
          <w:rStyle w:val="Refdenotaalpie"/>
          <w:rFonts w:ascii="Times New Roman" w:hAnsi="Times New Roman"/>
          <w:sz w:val="24"/>
          <w:szCs w:val="24"/>
          <w:lang w:val="es-AR"/>
        </w:rPr>
        <w:footnoteReference w:id="36"/>
      </w:r>
      <w:r>
        <w:rPr>
          <w:rFonts w:ascii="Times New Roman" w:hAnsi="Times New Roman"/>
          <w:sz w:val="24"/>
          <w:szCs w:val="24"/>
          <w:lang w:val="es-AR"/>
        </w:rPr>
        <w:t xml:space="preserve"> son las de Honduras (1982), El Salvador (1983), Guatemala (1985), Haití (1987), Nicaragua (1987), Paraguay (1992), Perú (1993), Argentina (1994), Costa Rica (1994, 1996), Venezuela (1999), México</w:t>
      </w:r>
      <w:r>
        <w:rPr>
          <w:rFonts w:ascii="Times New Roman" w:hAnsi="Times New Roman"/>
          <w:sz w:val="24"/>
          <w:szCs w:val="24"/>
          <w:lang w:val="es-AR"/>
        </w:rPr>
        <w:t xml:space="preserve"> (1993, 2001, 2011, 2012), Ecuador (2008), Bolivia (2009), Brasil (2006, 2010) y República Dominicana (2010). Algunas de estas constituciones agregan al catálogo tradicional de derechos sociales algunas innovaciones: entre ellos, la mayor prominencia de lo</w:t>
      </w:r>
      <w:r>
        <w:rPr>
          <w:rFonts w:ascii="Times New Roman" w:hAnsi="Times New Roman"/>
          <w:sz w:val="24"/>
          <w:szCs w:val="24"/>
          <w:lang w:val="es-AR"/>
        </w:rPr>
        <w:t>s derechos del consumidor</w:t>
      </w:r>
      <w:r>
        <w:rPr>
          <w:rStyle w:val="Refdenotaalpie"/>
          <w:rFonts w:ascii="Times New Roman" w:hAnsi="Times New Roman"/>
          <w:sz w:val="24"/>
          <w:szCs w:val="24"/>
          <w:lang w:val="es-AR"/>
        </w:rPr>
        <w:footnoteReference w:id="37"/>
      </w:r>
      <w:r>
        <w:rPr>
          <w:rFonts w:ascii="Times New Roman" w:hAnsi="Times New Roman"/>
          <w:sz w:val="24"/>
          <w:szCs w:val="24"/>
          <w:lang w:val="es-AR"/>
        </w:rPr>
        <w:t xml:space="preserve"> y del derecho a un medio ambiente sano</w:t>
      </w:r>
      <w:r>
        <w:rPr>
          <w:rStyle w:val="Refdenotaalpie"/>
          <w:rFonts w:ascii="Times New Roman" w:hAnsi="Times New Roman"/>
          <w:sz w:val="24"/>
          <w:szCs w:val="24"/>
          <w:lang w:val="es-AR"/>
        </w:rPr>
        <w:footnoteReference w:id="38"/>
      </w:r>
      <w:r>
        <w:rPr>
          <w:rFonts w:ascii="Times New Roman" w:hAnsi="Times New Roman"/>
          <w:sz w:val="24"/>
          <w:szCs w:val="24"/>
          <w:lang w:val="es-AR"/>
        </w:rPr>
        <w:t xml:space="preserve"> – y, en algunos casos, como en el de la Constitución ecuatoriana de 2008, de derechos de la naturaleza</w:t>
      </w:r>
      <w:r>
        <w:rPr>
          <w:rStyle w:val="Refdenotaalpie"/>
          <w:rFonts w:ascii="Times New Roman" w:hAnsi="Times New Roman"/>
          <w:sz w:val="24"/>
          <w:szCs w:val="24"/>
          <w:lang w:val="es-AR"/>
        </w:rPr>
        <w:footnoteReference w:id="39"/>
      </w:r>
      <w:r>
        <w:rPr>
          <w:rFonts w:ascii="Times New Roman" w:hAnsi="Times New Roman"/>
          <w:sz w:val="24"/>
          <w:szCs w:val="24"/>
          <w:lang w:val="es-AR"/>
        </w:rPr>
        <w:t xml:space="preserve"> –, la especificación de </w:t>
      </w:r>
      <w:r>
        <w:rPr>
          <w:rFonts w:ascii="Times New Roman" w:hAnsi="Times New Roman"/>
          <w:sz w:val="24"/>
          <w:szCs w:val="24"/>
          <w:lang w:val="es-AR"/>
        </w:rPr>
        <w:lastRenderedPageBreak/>
        <w:t>derechos sociales de los niños</w:t>
      </w:r>
      <w:r>
        <w:rPr>
          <w:rStyle w:val="Refdenotaalpie"/>
          <w:rFonts w:ascii="Times New Roman" w:hAnsi="Times New Roman"/>
          <w:sz w:val="24"/>
          <w:szCs w:val="24"/>
          <w:lang w:val="es-AR"/>
        </w:rPr>
        <w:footnoteReference w:id="40"/>
      </w:r>
      <w:r>
        <w:rPr>
          <w:rFonts w:ascii="Times New Roman" w:hAnsi="Times New Roman"/>
          <w:sz w:val="24"/>
          <w:szCs w:val="24"/>
          <w:lang w:val="es-AR"/>
        </w:rPr>
        <w:t>, personas con discapacidad</w:t>
      </w:r>
      <w:r>
        <w:rPr>
          <w:rStyle w:val="Refdenotaalpie"/>
          <w:rFonts w:ascii="Times New Roman" w:hAnsi="Times New Roman"/>
          <w:sz w:val="24"/>
          <w:szCs w:val="24"/>
          <w:lang w:val="es-AR"/>
        </w:rPr>
        <w:footnoteReference w:id="41"/>
      </w:r>
      <w:r>
        <w:rPr>
          <w:rFonts w:ascii="Times New Roman" w:hAnsi="Times New Roman"/>
          <w:sz w:val="24"/>
          <w:szCs w:val="24"/>
          <w:lang w:val="es-AR"/>
        </w:rPr>
        <w:t xml:space="preserve"> y</w:t>
      </w:r>
      <w:r>
        <w:rPr>
          <w:rFonts w:ascii="Times New Roman" w:hAnsi="Times New Roman"/>
          <w:sz w:val="24"/>
          <w:szCs w:val="24"/>
          <w:lang w:val="es-AR"/>
        </w:rPr>
        <w:t xml:space="preserve"> adultos mayores o personas de la tercera edad</w:t>
      </w:r>
      <w:r>
        <w:rPr>
          <w:rStyle w:val="Refdenotaalpie"/>
          <w:rFonts w:ascii="Times New Roman" w:hAnsi="Times New Roman"/>
          <w:sz w:val="24"/>
          <w:szCs w:val="24"/>
          <w:lang w:val="es-AR"/>
        </w:rPr>
        <w:footnoteReference w:id="42"/>
      </w:r>
      <w:r>
        <w:rPr>
          <w:rFonts w:ascii="Times New Roman" w:hAnsi="Times New Roman"/>
          <w:sz w:val="24"/>
          <w:szCs w:val="24"/>
          <w:lang w:val="es-AR"/>
        </w:rPr>
        <w:t>, los derechos económicos, sociales y culturales de los pueblos indígenas</w:t>
      </w:r>
      <w:r>
        <w:rPr>
          <w:rStyle w:val="Refdenotaalpie"/>
          <w:rFonts w:ascii="Times New Roman" w:hAnsi="Times New Roman"/>
          <w:sz w:val="24"/>
          <w:szCs w:val="24"/>
          <w:lang w:val="es-AR"/>
        </w:rPr>
        <w:footnoteReference w:id="43"/>
      </w:r>
      <w:r>
        <w:rPr>
          <w:rFonts w:ascii="Times New Roman" w:hAnsi="Times New Roman"/>
          <w:sz w:val="24"/>
          <w:szCs w:val="24"/>
          <w:lang w:val="es-AR"/>
        </w:rPr>
        <w:t>, el derecho a la alimentación</w:t>
      </w:r>
      <w:r>
        <w:rPr>
          <w:rStyle w:val="Refdenotaalpie"/>
          <w:rFonts w:ascii="Times New Roman" w:hAnsi="Times New Roman"/>
          <w:sz w:val="24"/>
          <w:szCs w:val="24"/>
          <w:lang w:val="es-AR"/>
        </w:rPr>
        <w:footnoteReference w:id="44"/>
      </w:r>
      <w:r>
        <w:rPr>
          <w:rFonts w:ascii="Times New Roman" w:hAnsi="Times New Roman"/>
          <w:sz w:val="24"/>
          <w:szCs w:val="24"/>
          <w:lang w:val="es-AR"/>
        </w:rPr>
        <w:t>, el derecho al agua</w:t>
      </w:r>
      <w:r>
        <w:rPr>
          <w:rStyle w:val="Refdenotaalpie"/>
          <w:rFonts w:ascii="Times New Roman" w:hAnsi="Times New Roman"/>
          <w:sz w:val="24"/>
          <w:szCs w:val="24"/>
          <w:lang w:val="es-AR"/>
        </w:rPr>
        <w:footnoteReference w:id="45"/>
      </w:r>
      <w:r>
        <w:rPr>
          <w:rFonts w:ascii="Times New Roman" w:hAnsi="Times New Roman"/>
          <w:sz w:val="24"/>
          <w:szCs w:val="24"/>
          <w:lang w:val="es-AR"/>
        </w:rPr>
        <w:t xml:space="preserve"> y el derecho de acceso a servicios básicos</w:t>
      </w:r>
      <w:r>
        <w:rPr>
          <w:rStyle w:val="Refdenotaalpie"/>
          <w:rFonts w:ascii="Times New Roman" w:hAnsi="Times New Roman"/>
          <w:sz w:val="24"/>
          <w:szCs w:val="24"/>
          <w:lang w:val="es-AR"/>
        </w:rPr>
        <w:footnoteReference w:id="46"/>
      </w:r>
      <w:r>
        <w:rPr>
          <w:rFonts w:ascii="Times New Roman" w:hAnsi="Times New Roman"/>
          <w:sz w:val="24"/>
          <w:szCs w:val="24"/>
          <w:lang w:val="es-AR"/>
        </w:rPr>
        <w:t>, la protección de intereses difusos  o</w:t>
      </w:r>
      <w:r>
        <w:rPr>
          <w:rFonts w:ascii="Times New Roman" w:hAnsi="Times New Roman"/>
          <w:sz w:val="24"/>
          <w:szCs w:val="24"/>
          <w:lang w:val="es-AR"/>
        </w:rPr>
        <w:t xml:space="preserve"> de alcance colectivo</w:t>
      </w:r>
      <w:r>
        <w:rPr>
          <w:rStyle w:val="Refdenotaalpie"/>
          <w:rFonts w:ascii="Times New Roman" w:hAnsi="Times New Roman"/>
          <w:sz w:val="24"/>
          <w:szCs w:val="24"/>
          <w:lang w:val="es-AR"/>
        </w:rPr>
        <w:footnoteReference w:id="47"/>
      </w:r>
      <w:r>
        <w:rPr>
          <w:rFonts w:ascii="Times New Roman" w:hAnsi="Times New Roman"/>
          <w:sz w:val="24"/>
          <w:szCs w:val="24"/>
          <w:lang w:val="es-AR"/>
        </w:rPr>
        <w:t>, o la ampliación del catálogo de derechos sociales por remisión a las normas internacionales de derechos humanos</w:t>
      </w:r>
      <w:r>
        <w:rPr>
          <w:rStyle w:val="Refdenotaalpie"/>
          <w:rFonts w:ascii="Times New Roman" w:hAnsi="Times New Roman"/>
          <w:sz w:val="24"/>
          <w:szCs w:val="24"/>
          <w:lang w:val="es-AR"/>
        </w:rPr>
        <w:footnoteReference w:id="48"/>
      </w:r>
      <w:r>
        <w:rPr>
          <w:rFonts w:ascii="Times New Roman" w:hAnsi="Times New Roman"/>
          <w:sz w:val="24"/>
          <w:szCs w:val="24"/>
          <w:lang w:val="es-AR"/>
        </w:rPr>
        <w:t xml:space="preserve">.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varios países de la región – como Argentina, Brasil, Costa Rica, Colombia, Venezuela – el establecimiento de una v</w:t>
      </w:r>
      <w:r>
        <w:rPr>
          <w:rFonts w:ascii="Times New Roman" w:hAnsi="Times New Roman"/>
          <w:sz w:val="24"/>
          <w:szCs w:val="24"/>
          <w:lang w:val="es-AR"/>
        </w:rPr>
        <w:t>ariedad de acciones constitucionales con legitimación procesal amplia – como las acciones de amparo o tutela individual colectiva, acciones de inconstitucionalidad, acciones populares o acciones de cumplimiento – ha permitido el desarrollo de una jurisprud</w:t>
      </w:r>
      <w:r>
        <w:rPr>
          <w:rFonts w:ascii="Times New Roman" w:hAnsi="Times New Roman"/>
          <w:sz w:val="24"/>
          <w:szCs w:val="24"/>
          <w:lang w:val="es-AR"/>
        </w:rPr>
        <w:t>encia considerable en materia de derechos sociales.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Europa del Este y Asia central, la oleada de constituciones posteriores a la caída de los llamados socialismos reales se enroló decididamente en la tendencia de incluir derechos sociales en las constit</w:t>
      </w:r>
      <w:r>
        <w:rPr>
          <w:rFonts w:ascii="Times New Roman" w:hAnsi="Times New Roman"/>
          <w:sz w:val="24"/>
          <w:szCs w:val="24"/>
          <w:lang w:val="es-AR"/>
        </w:rPr>
        <w:t>uciones – en general, derechos laborales individuales y colectivos, el derecho a la seguridad social, el derecho a la salud, el derecho a la educación, el derecho a la vivienda, el derecho a un medio ambiente sano y la protección de la familia, niñez, adul</w:t>
      </w:r>
      <w:r>
        <w:rPr>
          <w:rFonts w:ascii="Times New Roman" w:hAnsi="Times New Roman"/>
          <w:sz w:val="24"/>
          <w:szCs w:val="24"/>
          <w:lang w:val="es-AR"/>
        </w:rPr>
        <w:t>tos mayores y personas con discapacidad. Son ejemplos de ello la carta de derechos y libertades fundamentales de la República checa (1993), y las constituciones de Croacia (1990), Serbia (1990, 2006), Bulgaria (1991), Eslovenia (1991), Macedonia (1991), Ru</w:t>
      </w:r>
      <w:r>
        <w:rPr>
          <w:rFonts w:ascii="Times New Roman" w:hAnsi="Times New Roman"/>
          <w:sz w:val="24"/>
          <w:szCs w:val="24"/>
          <w:lang w:val="es-AR"/>
        </w:rPr>
        <w:t>mania (1991), Eslovaquia (1992), Estonia (1992), Lituania (1992), Mongolia (1992), Uzbekistán (1992), Rusia (1993), Bielorrusia (1994), Moldavia (1994), Tayikistán (1994), Armenia (1995), Azerbaiján (1995), Georgia (1995), Ucrania (1996), Polonia (1997), A</w:t>
      </w:r>
      <w:r>
        <w:rPr>
          <w:rFonts w:ascii="Times New Roman" w:hAnsi="Times New Roman"/>
          <w:sz w:val="24"/>
          <w:szCs w:val="24"/>
          <w:lang w:val="es-AR"/>
        </w:rPr>
        <w:t xml:space="preserve">lbania (1998) y Letonia (1998). Los tribunales constitucionales o tribunales supremos de algunos de los países de la región han sido particularmente activos en materia de derechos sociales – entre ellos, pueden </w:t>
      </w:r>
      <w:r>
        <w:rPr>
          <w:rFonts w:ascii="Times New Roman" w:hAnsi="Times New Roman"/>
          <w:sz w:val="24"/>
          <w:szCs w:val="24"/>
          <w:lang w:val="es-AR"/>
        </w:rPr>
        <w:lastRenderedPageBreak/>
        <w:t>destacarse los casos de Bulgaria, Croacia, Es</w:t>
      </w:r>
      <w:r>
        <w:rPr>
          <w:rFonts w:ascii="Times New Roman" w:hAnsi="Times New Roman"/>
          <w:sz w:val="24"/>
          <w:szCs w:val="24"/>
          <w:lang w:val="es-AR"/>
        </w:rPr>
        <w:t>lovenia, Estonia, Hungría, Letonia, Lituania, Polonia, República Checa y Rumania</w:t>
      </w:r>
      <w:r>
        <w:rPr>
          <w:rStyle w:val="Refdenotaalpie"/>
          <w:rFonts w:ascii="Times New Roman" w:hAnsi="Times New Roman"/>
          <w:sz w:val="24"/>
          <w:szCs w:val="24"/>
          <w:lang w:val="es-AR"/>
        </w:rPr>
        <w:footnoteReference w:id="49"/>
      </w:r>
      <w:r>
        <w:rPr>
          <w:rFonts w:ascii="Times New Roman" w:hAnsi="Times New Roman"/>
          <w:sz w:val="24"/>
          <w:szCs w:val="24"/>
          <w:lang w:val="es-AR"/>
        </w:rPr>
        <w:t>.</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África, es menester recalcar la experiencia constitucional de Sudáfrica. Sudáfrica adoptó en 1996, como resultado de la recuperación de la democracia y superación del rég</w:t>
      </w:r>
      <w:r>
        <w:rPr>
          <w:rFonts w:ascii="Times New Roman" w:hAnsi="Times New Roman"/>
          <w:sz w:val="24"/>
          <w:szCs w:val="24"/>
          <w:lang w:val="es-AR"/>
        </w:rPr>
        <w:t xml:space="preserve">imen del </w:t>
      </w:r>
      <w:r>
        <w:rPr>
          <w:rFonts w:ascii="Times New Roman" w:hAnsi="Times New Roman"/>
          <w:i/>
          <w:sz w:val="24"/>
          <w:szCs w:val="24"/>
          <w:lang w:val="es-AR"/>
        </w:rPr>
        <w:t>apartheid</w:t>
      </w:r>
      <w:r>
        <w:rPr>
          <w:rFonts w:ascii="Times New Roman" w:hAnsi="Times New Roman"/>
          <w:sz w:val="24"/>
          <w:szCs w:val="24"/>
          <w:lang w:val="es-AR"/>
        </w:rPr>
        <w:t xml:space="preserve">, una constitución que, en contraste con la tradición constitucional predominante en el </w:t>
      </w:r>
      <w:r>
        <w:rPr>
          <w:rFonts w:ascii="Times New Roman" w:hAnsi="Times New Roman"/>
          <w:i/>
          <w:sz w:val="24"/>
          <w:szCs w:val="24"/>
          <w:lang w:val="es-AR"/>
        </w:rPr>
        <w:t>common law</w:t>
      </w:r>
      <w:r>
        <w:rPr>
          <w:rFonts w:ascii="Times New Roman" w:hAnsi="Times New Roman"/>
          <w:sz w:val="24"/>
          <w:szCs w:val="24"/>
          <w:lang w:val="es-AR"/>
        </w:rPr>
        <w:t xml:space="preserve">, incluyó un importante catálogo de derechos fundamentales, tanto civiles y políticos como económicos, sociales y culturales, cuyo lenguaje </w:t>
      </w:r>
      <w:r>
        <w:rPr>
          <w:rFonts w:ascii="Times New Roman" w:hAnsi="Times New Roman"/>
          <w:sz w:val="24"/>
          <w:szCs w:val="24"/>
          <w:lang w:val="es-AR"/>
        </w:rPr>
        <w:t>reconoce como fuente principal las normas internacionales de derechos humanos</w:t>
      </w:r>
      <w:r>
        <w:rPr>
          <w:rStyle w:val="Refdenotaalpie"/>
          <w:rFonts w:ascii="Times New Roman" w:hAnsi="Times New Roman"/>
          <w:sz w:val="24"/>
          <w:szCs w:val="24"/>
          <w:lang w:val="es-AR"/>
        </w:rPr>
        <w:footnoteReference w:id="50"/>
      </w:r>
      <w:r>
        <w:rPr>
          <w:rFonts w:ascii="Times New Roman" w:hAnsi="Times New Roman"/>
          <w:sz w:val="24"/>
          <w:szCs w:val="24"/>
          <w:lang w:val="es-AR"/>
        </w:rPr>
        <w:t>.  Entre los derechos sociales reconocidos se encuentran los derechos laborales individuales y colectivos, el derecho a un medio ambiente sano, el derecho de acceder a una vivien</w:t>
      </w:r>
      <w:r>
        <w:rPr>
          <w:rFonts w:ascii="Times New Roman" w:hAnsi="Times New Roman"/>
          <w:sz w:val="24"/>
          <w:szCs w:val="24"/>
          <w:lang w:val="es-AR"/>
        </w:rPr>
        <w:t>da adecuada, los derechos a la salud, a la alimentación, al agua y a la seguridad social, el derecho de los niños a obtener protección del Estado en materia social, el derecho a la educación, derechos lingüísticos y derechos culturales. La constitución est</w:t>
      </w:r>
      <w:r>
        <w:rPr>
          <w:rFonts w:ascii="Times New Roman" w:hAnsi="Times New Roman"/>
          <w:sz w:val="24"/>
          <w:szCs w:val="24"/>
          <w:lang w:val="es-AR"/>
        </w:rPr>
        <w:t>ablece además un tribunal constitucional y un derecho a la tutela constitucional amplia, aplicable tanto a derechos civiles y políticos como a derechos económicos, sociales y culturales. El Tribunal Constitucional sudafricano ha desarrollado una importante</w:t>
      </w:r>
      <w:r>
        <w:rPr>
          <w:rFonts w:ascii="Times New Roman" w:hAnsi="Times New Roman"/>
          <w:sz w:val="24"/>
          <w:szCs w:val="24"/>
          <w:lang w:val="es-AR"/>
        </w:rPr>
        <w:t xml:space="preserve"> jurisprudencia en materia de derechos sociales – y en particular en materia de derecho a la vivienda –, concitando una creciente atención del mundo académico anglosajón, poco habituado a discutir y comentar decisiones constitucionales en esta materia.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En </w:t>
      </w:r>
      <w:r>
        <w:rPr>
          <w:rFonts w:ascii="Times New Roman" w:hAnsi="Times New Roman"/>
          <w:sz w:val="24"/>
          <w:szCs w:val="24"/>
          <w:lang w:val="es-AR"/>
        </w:rPr>
        <w:t xml:space="preserve">sentido similar, recientemente Kenia adoptó, en 2010, una nueva constitución que reconoce un catálogo de derechos económicos, sociales y culturales en tono similar al de la constitución sudafricana, garantizando asimismo el acceso a la justicia en caso de </w:t>
      </w:r>
      <w:r>
        <w:rPr>
          <w:rFonts w:ascii="Times New Roman" w:hAnsi="Times New Roman"/>
          <w:sz w:val="24"/>
          <w:szCs w:val="24"/>
          <w:lang w:val="es-AR"/>
        </w:rPr>
        <w:t>violación de esos derechos.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b/>
          <w:sz w:val="24"/>
          <w:szCs w:val="24"/>
          <w:lang w:val="es-AR"/>
        </w:rPr>
      </w:pPr>
      <w:r>
        <w:rPr>
          <w:rFonts w:ascii="Times New Roman" w:hAnsi="Times New Roman"/>
          <w:sz w:val="24"/>
          <w:szCs w:val="24"/>
          <w:lang w:val="es-AR"/>
        </w:rPr>
        <w:t xml:space="preserve">3) </w:t>
      </w:r>
      <w:r>
        <w:rPr>
          <w:rFonts w:ascii="Times New Roman" w:hAnsi="Times New Roman"/>
          <w:b/>
          <w:sz w:val="24"/>
          <w:szCs w:val="24"/>
          <w:lang w:val="es-AR"/>
        </w:rPr>
        <w:t>LOS DERECHOS SOCIALES COMO DERECHOS HUMANOS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b/>
          <w:sz w:val="24"/>
          <w:szCs w:val="24"/>
          <w:lang w:val="es-AR"/>
        </w:rPr>
      </w:pPr>
      <w:r>
        <w:rPr>
          <w:rFonts w:ascii="Times New Roman" w:hAnsi="Times New Roman"/>
          <w:b/>
          <w:sz w:val="24"/>
          <w:szCs w:val="24"/>
          <w:lang w:val="es-AR"/>
        </w:rPr>
        <w:t>3.1) Antecedentes: Constitución de la OIT, Pacto de la Sociedad de las Naciones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3.1.1) </w:t>
      </w:r>
      <w:r>
        <w:rPr>
          <w:rFonts w:ascii="Times New Roman" w:hAnsi="Times New Roman"/>
          <w:i/>
          <w:sz w:val="24"/>
          <w:szCs w:val="24"/>
          <w:lang w:val="es-AR"/>
        </w:rPr>
        <w:t>La Organización Internacional del Trabajo: Constitución de la OIT, Declaración de Filadelfi</w:t>
      </w:r>
      <w:r>
        <w:rPr>
          <w:rFonts w:ascii="Times New Roman" w:hAnsi="Times New Roman"/>
          <w:i/>
          <w:sz w:val="24"/>
          <w:szCs w:val="24"/>
          <w:lang w:val="es-AR"/>
        </w:rPr>
        <w:t>a y convenios internacionales del trabajo</w:t>
      </w:r>
      <w:r>
        <w:rPr>
          <w:rFonts w:ascii="Times New Roman" w:hAnsi="Times New Roman"/>
          <w:sz w:val="24"/>
          <w:szCs w:val="24"/>
          <w:lang w:val="es-AR"/>
        </w:rPr>
        <w:t xml:space="preserve"> </w:t>
      </w:r>
    </w:p>
    <w:p w:rsidR="00000000" w:rsidRDefault="007B5A38">
      <w:pPr>
        <w:jc w:val="both"/>
        <w:rPr>
          <w:rFonts w:ascii="Times New Roman" w:hAnsi="Times New Roman"/>
          <w:sz w:val="24"/>
          <w:szCs w:val="24"/>
          <w:lang w:val="es-AR"/>
        </w:rPr>
      </w:pPr>
      <w:r>
        <w:rPr>
          <w:rFonts w:ascii="Times New Roman" w:hAnsi="Times New Roman"/>
          <w:sz w:val="24"/>
          <w:szCs w:val="24"/>
          <w:lang w:val="es-AR"/>
        </w:rPr>
        <w:lastRenderedPageBreak/>
        <w:t>En paralelo con los procesos nacionales de constitucionalización ya abordados, el origen del reconocimiento internacional de derechos sociales también puede situarse en el período de entreguerras. Un hito simbólic</w:t>
      </w:r>
      <w:r>
        <w:rPr>
          <w:rFonts w:ascii="Times New Roman" w:hAnsi="Times New Roman"/>
          <w:sz w:val="24"/>
          <w:szCs w:val="24"/>
          <w:lang w:val="es-AR"/>
        </w:rPr>
        <w:t>o al respecto es la creación de la Organización Internacional del Trabajo, en 1919, simultáneamente a la creación de la Sociedad de las Naciones, precursora de la Organización de las Naciones Unidas</w:t>
      </w:r>
      <w:r>
        <w:rPr>
          <w:rStyle w:val="Refdenotaalpie"/>
          <w:rFonts w:ascii="Times New Roman" w:hAnsi="Times New Roman"/>
          <w:sz w:val="24"/>
          <w:szCs w:val="24"/>
          <w:lang w:val="es-AR"/>
        </w:rPr>
        <w:footnoteReference w:id="51"/>
      </w:r>
      <w:r>
        <w:rPr>
          <w:rFonts w:ascii="Times New Roman" w:hAnsi="Times New Roman"/>
          <w:sz w:val="24"/>
          <w:szCs w:val="24"/>
          <w:lang w:val="es-AR"/>
        </w:rPr>
        <w:t>.</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La OIT, caracterizada por su representación tripartita </w:t>
      </w:r>
      <w:r>
        <w:rPr>
          <w:rFonts w:ascii="Times New Roman" w:hAnsi="Times New Roman"/>
          <w:sz w:val="24"/>
          <w:szCs w:val="24"/>
          <w:lang w:val="es-AR"/>
        </w:rPr>
        <w:t>de Estados, organizaciones de trabajadores y de empleadores, constituye un antecedente fundamental tanto en materia de adopción de instrumentos y estándares internacionales de derechos humanos, como en materia de establecimiento de mecanismos internacional</w:t>
      </w:r>
      <w:r>
        <w:rPr>
          <w:rFonts w:ascii="Times New Roman" w:hAnsi="Times New Roman"/>
          <w:sz w:val="24"/>
          <w:szCs w:val="24"/>
          <w:lang w:val="es-AR"/>
        </w:rPr>
        <w:t>es de supervisión del cumplimiento de las obligaciones derivadas de esos instrumentos y estándares. Estos rasgos están configurados en la propia Constitución de la OIT, adoptada en 1919. El texto original de la Constitución de la OIT se limitaba al estable</w:t>
      </w:r>
      <w:r>
        <w:rPr>
          <w:rFonts w:ascii="Times New Roman" w:hAnsi="Times New Roman"/>
          <w:sz w:val="24"/>
          <w:szCs w:val="24"/>
          <w:lang w:val="es-AR"/>
        </w:rPr>
        <w:t xml:space="preserve">cimiento de la organización y no contenía una parte dogmática propiamente dicha. Esta carencia fue enmendada en 1944 con la incorporación al texto de la Constitución, de la “Declaración relativa a los fines y objetivos de la Organización Internacional del </w:t>
      </w:r>
      <w:r>
        <w:rPr>
          <w:rFonts w:ascii="Times New Roman" w:hAnsi="Times New Roman"/>
          <w:sz w:val="24"/>
          <w:szCs w:val="24"/>
          <w:lang w:val="es-AR"/>
        </w:rPr>
        <w:t>Trabajo” (denominada Declaración de Filadelfia), en la que se exponen los principios fundamentales de la organización, se reconocen derechos para todas las personas y se detallan los objetivos que la organización pretende alcanzar. Los principios fundament</w:t>
      </w:r>
      <w:r>
        <w:rPr>
          <w:rFonts w:ascii="Times New Roman" w:hAnsi="Times New Roman"/>
          <w:sz w:val="24"/>
          <w:szCs w:val="24"/>
          <w:lang w:val="es-AR"/>
        </w:rPr>
        <w:t>ales enumerados por la Declaración son los siguientes: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“a) el trabajo no es una mercancía;</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b) la libertad de expresión y de asociación es esencial para el progreso constante;</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c) la pobreza, en cualquier lugar, constituye un peligro para la prosperidad de </w:t>
      </w:r>
      <w:r>
        <w:rPr>
          <w:rFonts w:ascii="Times New Roman" w:hAnsi="Times New Roman"/>
          <w:sz w:val="24"/>
          <w:szCs w:val="24"/>
          <w:lang w:val="es-AR"/>
        </w:rPr>
        <w:t>todos;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d) la lucha contra la necesidad debe proseguirse con incesante energía dentro de cada nación y mediante un esfuerzo internacional continuo y concertado, en el cual los representantes de los trabajadores y de los empleadores, colaborando en un pie de</w:t>
      </w:r>
      <w:r>
        <w:rPr>
          <w:rFonts w:ascii="Times New Roman" w:hAnsi="Times New Roman"/>
          <w:sz w:val="24"/>
          <w:szCs w:val="24"/>
          <w:lang w:val="es-AR"/>
        </w:rPr>
        <w:t xml:space="preserve"> igualdad con los representantes de los gobiernos, participen en discusiones libres y en decisiones de carácter democrático, a fin de promover el bienestar común”.</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Declaración reconoce el  derecho de todos los seres humanos “a perseguir su bienestar mat</w:t>
      </w:r>
      <w:r>
        <w:rPr>
          <w:rFonts w:ascii="Times New Roman" w:hAnsi="Times New Roman"/>
          <w:sz w:val="24"/>
          <w:szCs w:val="24"/>
          <w:lang w:val="es-AR"/>
        </w:rPr>
        <w:t>erial y su desarrollo espiritual en condiciones de libertad y dignidad, de seguridad económica y en igualdad de oportunidades”. Para lograr la efectividad de ese derecho, la Organización debe fomentar, entre otros objetivos,</w:t>
      </w:r>
      <w:r>
        <w:rPr>
          <w:rFonts w:ascii="Times New Roman" w:eastAsia="Times New Roman" w:hAnsi="Times New Roman"/>
          <w:color w:val="000000"/>
          <w:sz w:val="24"/>
          <w:szCs w:val="24"/>
          <w:lang w:val="es-AR" w:eastAsia="en-GB"/>
        </w:rPr>
        <w:t xml:space="preserve"> </w:t>
      </w:r>
      <w:r>
        <w:rPr>
          <w:rFonts w:ascii="Times New Roman" w:hAnsi="Times New Roman"/>
          <w:sz w:val="24"/>
          <w:szCs w:val="24"/>
          <w:lang w:val="es-AR"/>
        </w:rPr>
        <w:t xml:space="preserve">el logro del pleno empleo y la </w:t>
      </w:r>
      <w:r>
        <w:rPr>
          <w:rFonts w:ascii="Times New Roman" w:hAnsi="Times New Roman"/>
          <w:sz w:val="24"/>
          <w:szCs w:val="24"/>
          <w:lang w:val="es-AR"/>
        </w:rPr>
        <w:t>elevación del nivel de vida, el acceso a empleos adecuado y a la formación profesional, la adopción de medidas en materia de salarios, horario y condiciones de trabajo destinados a garantizar una justa distribución de los frutos del progreso y un salario m</w:t>
      </w:r>
      <w:r>
        <w:rPr>
          <w:rFonts w:ascii="Times New Roman" w:hAnsi="Times New Roman"/>
          <w:sz w:val="24"/>
          <w:szCs w:val="24"/>
          <w:lang w:val="es-AR"/>
        </w:rPr>
        <w:t xml:space="preserve">ínimo vital para todos los que tengan </w:t>
      </w:r>
      <w:r>
        <w:rPr>
          <w:rFonts w:ascii="Times New Roman" w:hAnsi="Times New Roman"/>
          <w:sz w:val="24"/>
          <w:szCs w:val="24"/>
          <w:lang w:val="es-AR"/>
        </w:rPr>
        <w:lastRenderedPageBreak/>
        <w:t>empleo y necesiten esta clase de protección, el reconocimiento efectivo del derecho de negociación colectiva, la extensión de la seguridad social para garantizar ingresos básicos a quienes los necesiten y prestar asist</w:t>
      </w:r>
      <w:r>
        <w:rPr>
          <w:rFonts w:ascii="Times New Roman" w:hAnsi="Times New Roman"/>
          <w:sz w:val="24"/>
          <w:szCs w:val="24"/>
          <w:lang w:val="es-AR"/>
        </w:rPr>
        <w:t>encia médica completa, la protección de la vida y la salud de los trabajadores en todas las ocupaciones, y de la infancia y la maternidad, el acceso a alimentos, vivienda y medios de recreo y cultura adecuados y la garantía de iguales oportunidades educati</w:t>
      </w:r>
      <w:r>
        <w:rPr>
          <w:rFonts w:ascii="Times New Roman" w:hAnsi="Times New Roman"/>
          <w:sz w:val="24"/>
          <w:szCs w:val="24"/>
          <w:lang w:val="es-AR"/>
        </w:rPr>
        <w:t>vas y profesionales.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materia de establecimiento de mecanismos de supervisión del cumplimiento de obligaciones internacionales, la Constitución de la OIT prefigura dos de los mecanismos que se generalizarían con la adopción de tratados internacionales de</w:t>
      </w:r>
      <w:r>
        <w:rPr>
          <w:rFonts w:ascii="Times New Roman" w:hAnsi="Times New Roman"/>
          <w:sz w:val="24"/>
          <w:szCs w:val="24"/>
          <w:lang w:val="es-AR"/>
        </w:rPr>
        <w:t xml:space="preserve"> derechos humanos: el mecanismo de examen de memorias o informes, y el mecanismo de examen de reclamaciones o quejas.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primero consiste en el examen de las memorias o informes presentados anualmente por los Estados miembros de la organización, en los que</w:t>
      </w:r>
      <w:r>
        <w:rPr>
          <w:rFonts w:ascii="Times New Roman" w:hAnsi="Times New Roman"/>
          <w:sz w:val="24"/>
          <w:szCs w:val="24"/>
          <w:lang w:val="es-AR"/>
        </w:rPr>
        <w:t xml:space="preserve"> se da cuenta de las medidas adoptadas para implementar los convenios de los que cada Estado es parte.</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segundo consiste en la presentación por parte de sujetos colectivos calificados – sindicatos o asociaciones de empleadores – de reclamaciones en las q</w:t>
      </w:r>
      <w:r>
        <w:rPr>
          <w:rFonts w:ascii="Times New Roman" w:hAnsi="Times New Roman"/>
          <w:sz w:val="24"/>
          <w:szCs w:val="24"/>
          <w:lang w:val="es-AR"/>
        </w:rPr>
        <w:t>ue se alegue que un Estado ha incumplido con un convenio del que es parte.</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materia de adopción de instrumentos y estándares internacionales, la OIT ha liderado una intensa labor de adopción de convenios internacionales – denominación particular que reci</w:t>
      </w:r>
      <w:r>
        <w:rPr>
          <w:rFonts w:ascii="Times New Roman" w:hAnsi="Times New Roman"/>
          <w:sz w:val="24"/>
          <w:szCs w:val="24"/>
          <w:lang w:val="es-AR"/>
        </w:rPr>
        <w:t>ben los tratados elaborados en el seno de la organización – y de recomendaciones que guían la interpretación de los convenios.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el período que va desde 1919 hasta 1948 – fecha de la adopción de la Declaración Universal de Derechos Humanos – la OIT ya hab</w:t>
      </w:r>
      <w:r>
        <w:rPr>
          <w:rFonts w:ascii="Times New Roman" w:hAnsi="Times New Roman"/>
          <w:sz w:val="24"/>
          <w:szCs w:val="24"/>
          <w:lang w:val="es-AR"/>
        </w:rPr>
        <w:t>ía adoptado noventa convenios internacional de trabajo, abarcando temas tales como  regulación de los horarios y tiempos de trabajo, edad mínima, protección de la maternidad, desempleo, libertad sindical, indemnización de accidentes de trabajo, enfermedade</w:t>
      </w:r>
      <w:r>
        <w:rPr>
          <w:rFonts w:ascii="Times New Roman" w:hAnsi="Times New Roman"/>
          <w:sz w:val="24"/>
          <w:szCs w:val="24"/>
          <w:lang w:val="es-AR"/>
        </w:rPr>
        <w:t>s profesionales, salarios mínimos, protección contra el trabajo forzoso, seguridad social, trabajadores migrantes, inspección de trabajo, política social y servicio de empleo. Muchos de estos convenios continúan vigentes, y algunos de ellos forman parte de</w:t>
      </w:r>
      <w:r>
        <w:rPr>
          <w:rFonts w:ascii="Times New Roman" w:hAnsi="Times New Roman"/>
          <w:sz w:val="24"/>
          <w:szCs w:val="24"/>
          <w:lang w:val="es-AR"/>
        </w:rPr>
        <w:t>l conjunto de los denominados “convenios fundamentales de la OIT” – concretamente, el Convenio N° 29 sobre trabajo forzoso (adoptado en 1930) y el Convenio N° 87 sobre libertad sindical y protección del derecho de sindicación (adoptado en 1948). En todo ca</w:t>
      </w:r>
      <w:r>
        <w:rPr>
          <w:rFonts w:ascii="Times New Roman" w:hAnsi="Times New Roman"/>
          <w:sz w:val="24"/>
          <w:szCs w:val="24"/>
          <w:lang w:val="es-AR"/>
        </w:rPr>
        <w:t>so, los convenios de la OIT constituyen hoy en día una fuente imprescindible para la interpretación del alcance de los derechos humanos vinculados con el trabajo, la seguridad social y la protección social.</w:t>
      </w: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3.1.2) El Pacto de la Sociedad de las Naciones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w:t>
      </w:r>
      <w:r>
        <w:rPr>
          <w:rFonts w:ascii="Times New Roman" w:hAnsi="Times New Roman"/>
          <w:sz w:val="24"/>
          <w:szCs w:val="24"/>
          <w:lang w:val="es-AR"/>
        </w:rPr>
        <w:t xml:space="preserve"> instrumento constitutivo de la Sociedad de las Naciones – antecedente de la actual Organización de las Naciones Unidas –, adoptado también en 1919, no contenía ni hacía referencia a la noción de derechos humanos. Es interesante señalar, sin embargo, que e</w:t>
      </w:r>
      <w:r>
        <w:rPr>
          <w:rFonts w:ascii="Times New Roman" w:hAnsi="Times New Roman"/>
          <w:sz w:val="24"/>
          <w:szCs w:val="24"/>
          <w:lang w:val="es-AR"/>
        </w:rPr>
        <w:t xml:space="preserve">ntre las escasas referencias a obligaciones sustantivas asumidas por los Estados miembros respecto de las personas sujetas a su jurisdicción se encuentran algunas disposiciones en materia social. En </w:t>
      </w:r>
      <w:r>
        <w:rPr>
          <w:rFonts w:ascii="Times New Roman" w:hAnsi="Times New Roman"/>
          <w:sz w:val="24"/>
          <w:szCs w:val="24"/>
          <w:lang w:val="es-AR"/>
        </w:rPr>
        <w:lastRenderedPageBreak/>
        <w:t>particular, el artículo 23 del Pacto de la Sociedad de la</w:t>
      </w:r>
      <w:r>
        <w:rPr>
          <w:rFonts w:ascii="Times New Roman" w:hAnsi="Times New Roman"/>
          <w:sz w:val="24"/>
          <w:szCs w:val="24"/>
          <w:lang w:val="es-AR"/>
        </w:rPr>
        <w:t xml:space="preserve">s Naciones imponía a los Estados el compromiso de esforzarse para “asegurar y mantener condiciones de trabajo humanas y equitativas para el hombre, la mujer y el niño, tanto en su territorio como en todos los países a los que se extendieran sus relaciones </w:t>
      </w:r>
      <w:r>
        <w:rPr>
          <w:rFonts w:ascii="Times New Roman" w:hAnsi="Times New Roman"/>
          <w:sz w:val="24"/>
          <w:szCs w:val="24"/>
          <w:lang w:val="es-AR"/>
        </w:rPr>
        <w:t xml:space="preserve">comerciales e industriales, estableciendo con ese objeto las organizaciones internacionales necesarias” y “adoptar medidas de orden internacional para impedir y combatir las enfermedades”. </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b/>
          <w:i/>
          <w:sz w:val="24"/>
          <w:szCs w:val="24"/>
          <w:lang w:val="es-AR"/>
        </w:rPr>
      </w:pPr>
      <w:r>
        <w:rPr>
          <w:rFonts w:ascii="Times New Roman" w:hAnsi="Times New Roman"/>
          <w:b/>
          <w:i/>
          <w:sz w:val="24"/>
          <w:szCs w:val="24"/>
          <w:lang w:val="es-AR"/>
        </w:rPr>
        <w:t>3.2) Los derechos sociales en la Declaración Universal de Derecho</w:t>
      </w:r>
      <w:r>
        <w:rPr>
          <w:rFonts w:ascii="Times New Roman" w:hAnsi="Times New Roman"/>
          <w:b/>
          <w:i/>
          <w:sz w:val="24"/>
          <w:szCs w:val="24"/>
          <w:lang w:val="es-AR"/>
        </w:rPr>
        <w:t>s Humanos de 1948</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La adopción de la Declaración Universal de Derechos Humanos, el 10 de diciembre de 1948, constituye prácticamente el certificado de nacimiento del derecho internacional de los derechos humanos, tal como se los concibe en la actualidad. G</w:t>
      </w:r>
      <w:r>
        <w:rPr>
          <w:rFonts w:ascii="Times New Roman" w:hAnsi="Times New Roman"/>
          <w:sz w:val="24"/>
          <w:szCs w:val="24"/>
          <w:lang w:val="es-AR"/>
        </w:rPr>
        <w:t>ran parte del desarrollo posterior del derecho internacional de los derechos humanos ha consistido en la codificación del contenido de la Declaración Universal que, como se sabe, originalmente fue concebido como un instrumento no vinculante – más allá de q</w:t>
      </w:r>
      <w:r>
        <w:rPr>
          <w:rFonts w:ascii="Times New Roman" w:hAnsi="Times New Roman"/>
          <w:sz w:val="24"/>
          <w:szCs w:val="24"/>
          <w:lang w:val="es-AR"/>
        </w:rPr>
        <w:t>ue parte de la doctrina considere actualmente que ha devenido obligatorio por haberse tornado derecho consuetudinario internacional.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lo que respecta al tema que nos ocupa, la Declaración Universal de Derechos Humanos no establece distinciones entre dere</w:t>
      </w:r>
      <w:r>
        <w:rPr>
          <w:rFonts w:ascii="Times New Roman" w:hAnsi="Times New Roman"/>
          <w:sz w:val="24"/>
          <w:szCs w:val="24"/>
          <w:lang w:val="es-AR"/>
        </w:rPr>
        <w:t xml:space="preserve">chos civiles y políticos y derechos económicos, sociales y culturales. La Declaración no distingue entre categorías de derechos ni jerarquiza unos por sobre otros, incluye tanto derechos civiles y políticos como derechos económicos, sociales y culturales, </w:t>
      </w:r>
      <w:r>
        <w:rPr>
          <w:rFonts w:ascii="Times New Roman" w:hAnsi="Times New Roman"/>
          <w:sz w:val="24"/>
          <w:szCs w:val="24"/>
          <w:lang w:val="es-AR"/>
        </w:rPr>
        <w:t>y reafirma  implícitamente en su Preámbulo la interdependencia e indivisibilidad de todos los derechos humanos.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De acuerdo con el Preámbulo de la Declaración Universal, “la aspiración más elevada del hombre [es] el advenimiento de un mundo en que los seres</w:t>
      </w:r>
      <w:r>
        <w:rPr>
          <w:rFonts w:ascii="Times New Roman" w:hAnsi="Times New Roman"/>
          <w:sz w:val="24"/>
          <w:szCs w:val="24"/>
          <w:lang w:val="es-AR"/>
        </w:rPr>
        <w:t xml:space="preserve"> humanos, liberados del temor y de la miseria, disfruten de la libertad de palabra y de la libertad de creencias”. La Declaración señala también que “las Naciones Unidas han reafirmado en la Carta su fe en los derechos fundamentales del hombre, en la digni</w:t>
      </w:r>
      <w:r>
        <w:rPr>
          <w:rFonts w:ascii="Times New Roman" w:hAnsi="Times New Roman"/>
          <w:sz w:val="24"/>
          <w:szCs w:val="24"/>
          <w:lang w:val="es-AR"/>
        </w:rPr>
        <w:t>dad y el valor de la persona humana y en la igualdad de derechos de hombres y mujeres, y se han declarado resueltos a promover el progreso social y a elevar el nivel de vida dentro de un concepto más amplio de la libertad”. Ambos párrafos subrayan el víncu</w:t>
      </w:r>
      <w:r>
        <w:rPr>
          <w:rFonts w:ascii="Times New Roman" w:hAnsi="Times New Roman"/>
          <w:sz w:val="24"/>
          <w:szCs w:val="24"/>
          <w:lang w:val="es-AR"/>
        </w:rPr>
        <w:t>lo entre ejercicio efectivo de las libertades y superación de la miseria y progreso social.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Declaración Universal tampoco establece un régimen de obligaciones distinto para los derechos civiles y políticos y para los derechos económicos, sociales y cult</w:t>
      </w:r>
      <w:r>
        <w:rPr>
          <w:rFonts w:ascii="Times New Roman" w:hAnsi="Times New Roman"/>
          <w:sz w:val="24"/>
          <w:szCs w:val="24"/>
          <w:lang w:val="es-AR"/>
        </w:rPr>
        <w:t>urales. Antes bien, su Preámbulo parece reconocer que prácticamente todo derecho incluye aspectos sujetos a desarrollo progresivo: la Declaración Universal es concebida “como ideal común por el que todos los pueblos y naciones deben esforzarse, a fin de qu</w:t>
      </w:r>
      <w:r>
        <w:rPr>
          <w:rFonts w:ascii="Times New Roman" w:hAnsi="Times New Roman"/>
          <w:sz w:val="24"/>
          <w:szCs w:val="24"/>
          <w:lang w:val="es-AR"/>
        </w:rPr>
        <w:t>e tanto los individuos como las instituciones, inspirándose constantemente en ella, promuevan, mediante la enseñanza y la educación, el respeto a estos derechos y libertades, y aseguren, por medidas progresivas de carácter nacional e internacional, su reco</w:t>
      </w:r>
      <w:r>
        <w:rPr>
          <w:rFonts w:ascii="Times New Roman" w:hAnsi="Times New Roman"/>
          <w:sz w:val="24"/>
          <w:szCs w:val="24"/>
          <w:lang w:val="es-AR"/>
        </w:rPr>
        <w:t xml:space="preserve">nocimiento y aplicación universales y efectivos, tanto </w:t>
      </w:r>
      <w:r>
        <w:rPr>
          <w:rFonts w:ascii="Times New Roman" w:hAnsi="Times New Roman"/>
          <w:sz w:val="24"/>
          <w:szCs w:val="24"/>
          <w:lang w:val="es-AR"/>
        </w:rPr>
        <w:lastRenderedPageBreak/>
        <w:t>entre los pueblos de los Estados Miembros como entre los de los territorios colocados bajo su jurisdicción”.</w:t>
      </w:r>
    </w:p>
    <w:p w:rsidR="00000000" w:rsidRDefault="007B5A38">
      <w:pPr>
        <w:jc w:val="both"/>
        <w:rPr>
          <w:rFonts w:ascii="Times New Roman" w:hAnsi="Times New Roman"/>
          <w:sz w:val="24"/>
          <w:szCs w:val="24"/>
          <w:lang w:val="es-AR"/>
        </w:rPr>
      </w:pPr>
      <w:r>
        <w:rPr>
          <w:rFonts w:ascii="Times New Roman" w:hAnsi="Times New Roman"/>
          <w:sz w:val="24"/>
          <w:szCs w:val="24"/>
          <w:lang w:val="es-AR"/>
        </w:rPr>
        <w:t>Aunque la inclusión de los derechos económicos, sociales y culturales en la Declaración Univ</w:t>
      </w:r>
      <w:r>
        <w:rPr>
          <w:rFonts w:ascii="Times New Roman" w:hAnsi="Times New Roman"/>
          <w:sz w:val="24"/>
          <w:szCs w:val="24"/>
          <w:lang w:val="es-AR"/>
        </w:rPr>
        <w:t xml:space="preserve">ersal de Derechos Humanos suele presentarse como resultado de la presunta influencia de la Unión Soviética y de los países del bloque socialista durante el proceso de redacción, tal versión tiene poco asidero y la simple revisión de los antecedentes de la </w:t>
      </w:r>
      <w:r>
        <w:rPr>
          <w:rFonts w:ascii="Times New Roman" w:hAnsi="Times New Roman"/>
          <w:sz w:val="24"/>
          <w:szCs w:val="24"/>
          <w:lang w:val="es-AR"/>
        </w:rPr>
        <w:t>Declaración es suficiente para desmentirla. La inclusión de derechos económicos, sociales y culturales en la Declaración Universal contó por el contrario con el apoyo de Eleanor Roosevelt, viuda del presidente estadounidense Franklin D. Roosevelt y preside</w:t>
      </w:r>
      <w:r>
        <w:rPr>
          <w:rFonts w:ascii="Times New Roman" w:hAnsi="Times New Roman"/>
          <w:sz w:val="24"/>
          <w:szCs w:val="24"/>
          <w:lang w:val="es-AR"/>
        </w:rPr>
        <w:t>nta del Comité de redacción de la Declaración. El apoyo de Eleanor Roosevelt era sin dudas coherente con el famoso Discurso de las Cuatro Libertades pronunciado el 6 de enero de 1941 por el presidente Roosevelt ante el Congreso de los Estados Unidos, y que</w:t>
      </w:r>
      <w:r>
        <w:rPr>
          <w:rFonts w:ascii="Times New Roman" w:hAnsi="Times New Roman"/>
          <w:sz w:val="24"/>
          <w:szCs w:val="24"/>
          <w:lang w:val="es-AR"/>
        </w:rPr>
        <w:t xml:space="preserve"> constituyó el manifiesto ideológico del denominado “New Deal” o Nuevo Trato. Entre las “cuatro libertades”, el presidente Roosevelt incluía la de vivir libre de miseria (“freedom from want”) y la de vivir libre de miedo (“freedom from fear”).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Sin embargo</w:t>
      </w:r>
      <w:r>
        <w:rPr>
          <w:rFonts w:ascii="Times New Roman" w:hAnsi="Times New Roman"/>
          <w:sz w:val="24"/>
          <w:szCs w:val="24"/>
          <w:lang w:val="es-AR"/>
        </w:rPr>
        <w:t>, el impulso sostenido para la inclusión de los derechos económicos, sociales y culturales en la Declaración Universal provino fundamentalmente de los representantes de países de América Latina. Tal iniciativa era coherente con las ya abordadas manifestaci</w:t>
      </w:r>
      <w:r>
        <w:rPr>
          <w:rFonts w:ascii="Times New Roman" w:hAnsi="Times New Roman"/>
          <w:sz w:val="24"/>
          <w:szCs w:val="24"/>
          <w:lang w:val="es-AR"/>
        </w:rPr>
        <w:t>ones del constitucionalismo latinoamericano de las décadas de 1930 y 1940, y reflejaba además el desarrollo de estándares regionales de derechos humanos, como la adopción, en el seno de la Organización de Estados Americanos el 30 de abril de 1948 – es deci</w:t>
      </w:r>
      <w:r>
        <w:rPr>
          <w:rFonts w:ascii="Times New Roman" w:hAnsi="Times New Roman"/>
          <w:sz w:val="24"/>
          <w:szCs w:val="24"/>
          <w:lang w:val="es-AR"/>
        </w:rPr>
        <w:t>r, siete meses antes de la adopción de la Declaración Universal – de la Declaración Americana de los Derechos y Deberes del Hombre. Previamente, representantes de los países latinoamericanos habían insistido – sin éxito –  en la inclusión de una Declaració</w:t>
      </w:r>
      <w:r>
        <w:rPr>
          <w:rFonts w:ascii="Times New Roman" w:hAnsi="Times New Roman"/>
          <w:sz w:val="24"/>
          <w:szCs w:val="24"/>
          <w:lang w:val="es-AR"/>
        </w:rPr>
        <w:t xml:space="preserve">n de Derechos Humanos en la Conferencia de San Francisco (1945), cuyo resultado fue la adopción de la Carta de las Naciones Unidas y la creación de la Organización de las Naciones Unidas. La posición conjunta de los países latinoamericanos y el mandato de </w:t>
      </w:r>
      <w:r>
        <w:rPr>
          <w:rFonts w:ascii="Times New Roman" w:hAnsi="Times New Roman"/>
          <w:sz w:val="24"/>
          <w:szCs w:val="24"/>
          <w:lang w:val="es-AR"/>
        </w:rPr>
        <w:t>actuación en el plano universal en esta materia fue adoptada en la denominada Conferencia Interamericana sobre Problemas de la Guerra y la Paz o Conferencia de Chapultepec, que se llevó a cabo en la ciudad de México, del 21 de febrero al 8 de marzo de 1945</w:t>
      </w:r>
      <w:r>
        <w:rPr>
          <w:rFonts w:ascii="Times New Roman" w:hAnsi="Times New Roman"/>
          <w:sz w:val="24"/>
          <w:szCs w:val="24"/>
          <w:lang w:val="es-AR"/>
        </w:rPr>
        <w:t>.</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 En el proceso de adopción de la Declaración Universal, Panamá, Chile y Cuba presentaron al Comité de Redacción que trabajó en 1947 y parte de 1948, contribuciones que constituyeron – en opinión de los historiadores que han estudiado los orígenes de ese </w:t>
      </w:r>
      <w:r>
        <w:rPr>
          <w:rFonts w:ascii="Times New Roman" w:hAnsi="Times New Roman"/>
          <w:sz w:val="24"/>
          <w:szCs w:val="24"/>
          <w:lang w:val="es-AR"/>
        </w:rPr>
        <w:t>instrumento</w:t>
      </w:r>
      <w:r>
        <w:rPr>
          <w:rStyle w:val="Refdenotaalpie"/>
          <w:rFonts w:ascii="Times New Roman" w:hAnsi="Times New Roman"/>
          <w:sz w:val="24"/>
          <w:szCs w:val="24"/>
          <w:lang w:val="es-AR"/>
        </w:rPr>
        <w:footnoteReference w:id="52"/>
      </w:r>
      <w:r>
        <w:rPr>
          <w:rFonts w:ascii="Times New Roman" w:hAnsi="Times New Roman"/>
          <w:sz w:val="24"/>
          <w:szCs w:val="24"/>
          <w:lang w:val="es-AR"/>
        </w:rPr>
        <w:t xml:space="preserve"> – la base de los artículos sobre derechos económicos, sociales y culturales incluidos en la Declaración: </w:t>
      </w:r>
      <w:r>
        <w:rPr>
          <w:rFonts w:ascii="Times New Roman" w:hAnsi="Times New Roman"/>
          <w:sz w:val="24"/>
          <w:szCs w:val="24"/>
          <w:lang w:val="es-AR"/>
        </w:rPr>
        <w:lastRenderedPageBreak/>
        <w:t>de particular relevancia al respecto fueron el Proyecto de Declaración de los Derechos y Deberes Internacionales del Hombre</w:t>
      </w:r>
      <w:r>
        <w:rPr>
          <w:rStyle w:val="Refdenotaalpie"/>
          <w:rFonts w:ascii="Times New Roman" w:hAnsi="Times New Roman"/>
          <w:sz w:val="24"/>
          <w:szCs w:val="24"/>
          <w:lang w:val="es-AR"/>
        </w:rPr>
        <w:footnoteReference w:id="53"/>
      </w:r>
      <w:r>
        <w:rPr>
          <w:rFonts w:ascii="Times New Roman" w:hAnsi="Times New Roman"/>
          <w:sz w:val="24"/>
          <w:szCs w:val="24"/>
          <w:lang w:val="es-AR"/>
        </w:rPr>
        <w:t>, preparado po</w:t>
      </w:r>
      <w:r>
        <w:rPr>
          <w:rFonts w:ascii="Times New Roman" w:hAnsi="Times New Roman"/>
          <w:sz w:val="24"/>
          <w:szCs w:val="24"/>
          <w:lang w:val="es-AR"/>
        </w:rPr>
        <w:t>r el Comité Jurídico Interamericano y presentado por la delegación chilena durante la segunda parte de la primera sesión de la Asamblea General, en enero de 1947, y el borrador de “Declaración de Derechos Humanos Esenciales”, resultado de un trabajo realiz</w:t>
      </w:r>
      <w:r>
        <w:rPr>
          <w:rFonts w:ascii="Times New Roman" w:hAnsi="Times New Roman"/>
          <w:sz w:val="24"/>
          <w:szCs w:val="24"/>
          <w:lang w:val="es-AR"/>
        </w:rPr>
        <w:t>ado entre 1942 y 1943 por un comité internacional auspiciado por el American Law Institute y presentado por la delegación panameña</w:t>
      </w:r>
      <w:r>
        <w:rPr>
          <w:rStyle w:val="Refdenotaalpie"/>
          <w:rFonts w:ascii="Times New Roman" w:hAnsi="Times New Roman"/>
          <w:sz w:val="24"/>
          <w:szCs w:val="24"/>
          <w:lang w:val="es-AR"/>
        </w:rPr>
        <w:footnoteReference w:id="54"/>
      </w:r>
      <w:r>
        <w:rPr>
          <w:rFonts w:ascii="Times New Roman" w:hAnsi="Times New Roman"/>
          <w:sz w:val="24"/>
          <w:szCs w:val="24"/>
          <w:lang w:val="es-AR"/>
        </w:rPr>
        <w:t>. Durante esa fase de redacción, que cupo a un Comité presidido por Eleanor Roosevelt y compuesto por otros ocho miembros, el</w:t>
      </w:r>
      <w:r>
        <w:rPr>
          <w:rFonts w:ascii="Times New Roman" w:hAnsi="Times New Roman"/>
          <w:sz w:val="24"/>
          <w:szCs w:val="24"/>
          <w:lang w:val="es-AR"/>
        </w:rPr>
        <w:t xml:space="preserve"> principal defensor de la inclusión de derechos económicos, sociales y culturales fue el representante chileno, el embajador Hernán Santa Cruz. En las fases posteriores de discusión del proyecto, en el seno de la Comisión de Derechos Humanos y en el de la </w:t>
      </w:r>
      <w:r>
        <w:rPr>
          <w:rFonts w:ascii="Times New Roman" w:hAnsi="Times New Roman"/>
          <w:sz w:val="24"/>
          <w:szCs w:val="24"/>
          <w:lang w:val="es-AR"/>
        </w:rPr>
        <w:t>Asamblea General de las Naciones Unidas, se destacaron el representante panameño, Ricardo J. Alfaro</w:t>
      </w:r>
      <w:r>
        <w:rPr>
          <w:rStyle w:val="Refdenotaalpie"/>
          <w:rFonts w:ascii="Times New Roman" w:hAnsi="Times New Roman"/>
          <w:sz w:val="24"/>
          <w:szCs w:val="24"/>
          <w:lang w:val="es-AR"/>
        </w:rPr>
        <w:footnoteReference w:id="55"/>
      </w:r>
      <w:r>
        <w:rPr>
          <w:rFonts w:ascii="Times New Roman" w:hAnsi="Times New Roman"/>
          <w:sz w:val="24"/>
          <w:szCs w:val="24"/>
          <w:lang w:val="es-AR"/>
        </w:rPr>
        <w:t>, los representantes cubanos Ernesto Dihigo y Guy Pérez-Cisneros, el representante mexicano Pedro de Alba, el representante costarricense, Alberto Cañas y e</w:t>
      </w:r>
      <w:r>
        <w:rPr>
          <w:rFonts w:ascii="Times New Roman" w:hAnsi="Times New Roman"/>
          <w:sz w:val="24"/>
          <w:szCs w:val="24"/>
          <w:lang w:val="es-AR"/>
        </w:rPr>
        <w:t xml:space="preserve">l representante haitiano y relator de la Comisión, Emile Saint-Lot. La consigna común de los representantes latinoamericanos fue la de asegurar la coherencia de la Declaración Universal con la previamente adoptada Declaración Americana, y en particular la </w:t>
      </w:r>
      <w:r>
        <w:rPr>
          <w:rFonts w:ascii="Times New Roman" w:hAnsi="Times New Roman"/>
          <w:sz w:val="24"/>
          <w:szCs w:val="24"/>
          <w:lang w:val="es-AR"/>
        </w:rPr>
        <w:t xml:space="preserve">inclusión de los derechos económicos, sociales y culturales, y del derecho a la protección judicial – inspirado en el amparo latinoamericano.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lo que hace a los derechos económicos, sociales y culturales contenidos en la Declaración Universal de Derecho</w:t>
      </w:r>
      <w:r>
        <w:rPr>
          <w:rFonts w:ascii="Times New Roman" w:hAnsi="Times New Roman"/>
          <w:sz w:val="24"/>
          <w:szCs w:val="24"/>
          <w:lang w:val="es-AR"/>
        </w:rPr>
        <w:t xml:space="preserve">s Humanos, estos incluyen el derecho a la seguridad social (art. 23), el derecho al trabajo, a condiciones equitativas de trabajo, protección contra el desempleo, igual salario por trabajo igual, remuneración equitativa, a fundar sindicatos y a sindicarse </w:t>
      </w:r>
      <w:r>
        <w:rPr>
          <w:rFonts w:ascii="Times New Roman" w:hAnsi="Times New Roman"/>
          <w:sz w:val="24"/>
          <w:szCs w:val="24"/>
          <w:lang w:val="es-AR"/>
        </w:rPr>
        <w:t xml:space="preserve">(art. 23), al descanso, disfrute del tiempo libre, limitación de la duración del trabajo y vacaciones pagas (art. 24), a un nivel de vida adecuado que asegure a la persona y a su familia salud, bienestar, alimentación, vestido, vivienda, asistencia médica </w:t>
      </w:r>
      <w:r>
        <w:rPr>
          <w:rFonts w:ascii="Times New Roman" w:hAnsi="Times New Roman"/>
          <w:sz w:val="24"/>
          <w:szCs w:val="24"/>
          <w:lang w:val="es-AR"/>
        </w:rPr>
        <w:t>y servicios sociales, y a seguros en caso de desempleo, enfermedad, invalidez, viudez, vejes y pérdida de medios de subsistencia, a la protección de la maternidad y de la infancia (art. 25), a la educación, incluyendo la educación elemental gratuita y obli</w:t>
      </w:r>
      <w:r>
        <w:rPr>
          <w:rFonts w:ascii="Times New Roman" w:hAnsi="Times New Roman"/>
          <w:sz w:val="24"/>
          <w:szCs w:val="24"/>
          <w:lang w:val="es-AR"/>
        </w:rPr>
        <w:t xml:space="preserve">gatorio y el acceso a niveles superiores (art. 26), a tomar parte de la </w:t>
      </w:r>
      <w:r>
        <w:rPr>
          <w:rFonts w:ascii="Times New Roman" w:hAnsi="Times New Roman"/>
          <w:sz w:val="24"/>
          <w:szCs w:val="24"/>
          <w:lang w:val="es-AR"/>
        </w:rPr>
        <w:lastRenderedPageBreak/>
        <w:t>vida cultural, y a la protección de los intereses morales y materiales en caso de autoría de obras científicas, literarias o artísticas (art. 27).</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El texto de la Declaración Universal </w:t>
      </w:r>
      <w:r>
        <w:rPr>
          <w:rFonts w:ascii="Times New Roman" w:hAnsi="Times New Roman"/>
          <w:sz w:val="24"/>
          <w:szCs w:val="24"/>
          <w:lang w:val="es-AR"/>
        </w:rPr>
        <w:t>ha tenido enorme influencia en el desarrollo posterior del derecho internacional de los derechos humanos, y en las constituciones adoptadas en todo el mundo, y los derechos económicos, sociales y culturales contenidos en la Declaración no constituyen una e</w:t>
      </w:r>
      <w:r>
        <w:rPr>
          <w:rFonts w:ascii="Times New Roman" w:hAnsi="Times New Roman"/>
          <w:sz w:val="24"/>
          <w:szCs w:val="24"/>
          <w:lang w:val="es-AR"/>
        </w:rPr>
        <w:t>xcepción al respecto.</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b/>
          <w:i/>
          <w:sz w:val="24"/>
          <w:szCs w:val="24"/>
          <w:lang w:val="es-AR"/>
        </w:rPr>
      </w:pPr>
      <w:r>
        <w:rPr>
          <w:rFonts w:ascii="Times New Roman" w:hAnsi="Times New Roman"/>
          <w:b/>
          <w:i/>
          <w:sz w:val="24"/>
          <w:szCs w:val="24"/>
          <w:lang w:val="es-AR"/>
        </w:rPr>
        <w:t>3.3) La codificación del contenido de la Declaración Universal: los pactos de 1966 (PIDESC y PIDCP) y el posterior desarrollo de instrumentos del sistema universal de derechos humanos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3.3.1) La adopción de dos instrumentos diferenci</w:t>
      </w:r>
      <w:r>
        <w:rPr>
          <w:rFonts w:ascii="Times New Roman" w:hAnsi="Times New Roman"/>
          <w:i/>
          <w:sz w:val="24"/>
          <w:szCs w:val="24"/>
          <w:lang w:val="es-AR"/>
        </w:rPr>
        <w:t>ados: el Pacto Internacional de Derechos Civiles y Políticos y el Pacto Internacional de Derechos Económicos, Sociales y Culturales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el período que va desde 1948 a 1966, la comunidad internacional – dividida por las tensiones entre bloques derivadas de l</w:t>
      </w:r>
      <w:r>
        <w:rPr>
          <w:rFonts w:ascii="Times New Roman" w:hAnsi="Times New Roman"/>
          <w:sz w:val="24"/>
          <w:szCs w:val="24"/>
          <w:lang w:val="es-AR"/>
        </w:rPr>
        <w:t>a llamada guerra fría – discutió largamente la codificación del contenido de la Declaración Universal de Derechos Humanos en instrumentos convencionales de carácter vinculante</w:t>
      </w:r>
      <w:r>
        <w:rPr>
          <w:rStyle w:val="Refdenotaalpie"/>
          <w:rFonts w:ascii="Times New Roman" w:hAnsi="Times New Roman"/>
          <w:sz w:val="24"/>
          <w:szCs w:val="24"/>
          <w:lang w:val="es-AR"/>
        </w:rPr>
        <w:footnoteReference w:id="56"/>
      </w:r>
      <w:r>
        <w:rPr>
          <w:rFonts w:ascii="Times New Roman" w:hAnsi="Times New Roman"/>
          <w:sz w:val="24"/>
          <w:szCs w:val="24"/>
          <w:lang w:val="es-AR"/>
        </w:rPr>
        <w:t xml:space="preserve">.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El primer resultado de este proceso de codificación fue la adopción en 1965, </w:t>
      </w:r>
      <w:r>
        <w:rPr>
          <w:rFonts w:ascii="Times New Roman" w:hAnsi="Times New Roman"/>
          <w:sz w:val="24"/>
          <w:szCs w:val="24"/>
          <w:lang w:val="es-AR"/>
        </w:rPr>
        <w:t>de la Convención Internacional para la Eliminación de Todas las Formas de Discriminación Racial, que codifica en un tratado internacional la prohibición de discriminación por motivos raciales – contenida en el artículo 2 de la Declaración Universal –, part</w:t>
      </w:r>
      <w:r>
        <w:rPr>
          <w:rFonts w:ascii="Times New Roman" w:hAnsi="Times New Roman"/>
          <w:sz w:val="24"/>
          <w:szCs w:val="24"/>
          <w:lang w:val="es-AR"/>
        </w:rPr>
        <w:t>icularmente en relación con los derechos humanos consagrados por esa Declaración. En línea con la Declaración Universal, la Convención Internacional para la Eliminación de Todas las Formas de Discriminación Racial no distingue entre derechos civiles y polí</w:t>
      </w:r>
      <w:r>
        <w:rPr>
          <w:rFonts w:ascii="Times New Roman" w:hAnsi="Times New Roman"/>
          <w:sz w:val="24"/>
          <w:szCs w:val="24"/>
          <w:lang w:val="es-AR"/>
        </w:rPr>
        <w:t>ticos y derechos económicos, sociales y culturales, y hace aplicable la prohibición de discriminación racial a todo el plexo de derechos consagrados por la Declaración Universal – mencionando explícitamente los derechos económicos, sociales y culturales en</w:t>
      </w:r>
      <w:r>
        <w:rPr>
          <w:rFonts w:ascii="Times New Roman" w:hAnsi="Times New Roman"/>
          <w:sz w:val="24"/>
          <w:szCs w:val="24"/>
          <w:lang w:val="es-AR"/>
        </w:rPr>
        <w:t>tre las materias en las cuales la discriminación está prohibida – en particular trabajo, vivienda, salud, seguridad social, servicios sociales, educación y participación en actividades culturales . La inclusión de derechos económicos, sociales y culturales</w:t>
      </w:r>
      <w:r>
        <w:rPr>
          <w:rFonts w:ascii="Times New Roman" w:hAnsi="Times New Roman"/>
          <w:sz w:val="24"/>
          <w:szCs w:val="24"/>
          <w:lang w:val="es-AR"/>
        </w:rPr>
        <w:t xml:space="preserve"> como </w:t>
      </w:r>
      <w:r>
        <w:rPr>
          <w:rFonts w:ascii="Times New Roman" w:hAnsi="Times New Roman"/>
          <w:sz w:val="24"/>
          <w:szCs w:val="24"/>
          <w:lang w:val="es-AR"/>
        </w:rPr>
        <w:lastRenderedPageBreak/>
        <w:t>materia sobre la cual se prohíbe la discriminación no respondió únicamente a razones de consistencia con la Declaración Universal, sino a la necesidad de un pronunciamiento internacional expreso respecto de la ilegalidad de prácticas de discriminació</w:t>
      </w:r>
      <w:r>
        <w:rPr>
          <w:rFonts w:ascii="Times New Roman" w:hAnsi="Times New Roman"/>
          <w:sz w:val="24"/>
          <w:szCs w:val="24"/>
          <w:lang w:val="es-AR"/>
        </w:rPr>
        <w:t>n racial en el ámbito laboral, educativo, habitacional y económico, características del régimen del apartheid sudafricano y de los regímenes de segregación racial de los estados del sur de los Estados Unidos vigentes hasta poco más de una década antes de l</w:t>
      </w:r>
      <w:r>
        <w:rPr>
          <w:rFonts w:ascii="Times New Roman" w:hAnsi="Times New Roman"/>
          <w:sz w:val="24"/>
          <w:szCs w:val="24"/>
          <w:lang w:val="es-AR"/>
        </w:rPr>
        <w:t>a adopción de la Convención.</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1966, después de casi 20 años de discusión en el seno de las Naciones Unidas, la comunidad internacional culminó la discusión derivada del mandato de codificación plena del contenido de la Declaración Universal de Derechos H</w:t>
      </w:r>
      <w:r>
        <w:rPr>
          <w:rFonts w:ascii="Times New Roman" w:hAnsi="Times New Roman"/>
          <w:sz w:val="24"/>
          <w:szCs w:val="24"/>
          <w:lang w:val="es-AR"/>
        </w:rPr>
        <w:t>umanos, con la adopción simultánea de dos instrumentos diferenciados: un Pacto Internacional de Derechos Civiles y Políticos, y un Pacto Internacional de Derechos Económicos, Sociales y Culturales. Aunque los dos pactos contienen algunos elementos que subr</w:t>
      </w:r>
      <w:r>
        <w:rPr>
          <w:rFonts w:ascii="Times New Roman" w:hAnsi="Times New Roman"/>
          <w:sz w:val="24"/>
          <w:szCs w:val="24"/>
          <w:lang w:val="es-AR"/>
        </w:rPr>
        <w:t>ayan la interrelación e interdependencia de todos los derechos humanos – como su preámbulo común, y una cláusula idéntica en ambos Pactos, el artículo 1, que consagra el derecho a la autodeterminación de los pueblos.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Sin embargo, pese a estas débiles muest</w:t>
      </w:r>
      <w:r>
        <w:rPr>
          <w:rFonts w:ascii="Times New Roman" w:hAnsi="Times New Roman"/>
          <w:sz w:val="24"/>
          <w:szCs w:val="24"/>
          <w:lang w:val="es-AR"/>
        </w:rPr>
        <w:t xml:space="preserve">ras de abordaje común, lo que destaca a primera vista son una serie de diferencias en el tratamiento de ambos conjuntos de derechos. Entre ellas pueden mencionarse las siguientes: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w:t>
      </w:r>
      <w:r>
        <w:rPr>
          <w:rFonts w:ascii="Times New Roman" w:hAnsi="Times New Roman"/>
          <w:sz w:val="24"/>
          <w:szCs w:val="24"/>
          <w:lang w:val="es-AR"/>
        </w:rPr>
        <w:tab/>
        <w:t>la modalización de las obligaciones generales consagradas por el Pacto de</w:t>
      </w:r>
      <w:r>
        <w:rPr>
          <w:rFonts w:ascii="Times New Roman" w:hAnsi="Times New Roman"/>
          <w:sz w:val="24"/>
          <w:szCs w:val="24"/>
          <w:lang w:val="es-AR"/>
        </w:rPr>
        <w:t xml:space="preserve"> Derechos Económicos, Sociales y Culturales a partir de las nociones de “desarrollo progresivo” y “máximo de los recursos disponibles” (art. 2.1 del PIDESC),  que no tiene correlato en el Pacto de Derechos Civiles y Políticos.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w:t>
      </w:r>
      <w:r>
        <w:rPr>
          <w:rFonts w:ascii="Times New Roman" w:hAnsi="Times New Roman"/>
          <w:sz w:val="24"/>
          <w:szCs w:val="24"/>
          <w:lang w:val="es-AR"/>
        </w:rPr>
        <w:tab/>
        <w:t>la reiterada mención, en el</w:t>
      </w:r>
      <w:r>
        <w:rPr>
          <w:rFonts w:ascii="Times New Roman" w:hAnsi="Times New Roman"/>
          <w:sz w:val="24"/>
          <w:szCs w:val="24"/>
          <w:lang w:val="es-AR"/>
        </w:rPr>
        <w:t xml:space="preserve"> Pacto de Derechos Económicos, Sociales y Culturales de la asistencia y cooperación internacionales como medio de realización de los derechos  – que tampoco se encuentra en el Pacto de Derechos Civiles y Políticos.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w:t>
      </w:r>
      <w:r>
        <w:rPr>
          <w:rFonts w:ascii="Times New Roman" w:hAnsi="Times New Roman"/>
          <w:sz w:val="24"/>
          <w:szCs w:val="24"/>
          <w:lang w:val="es-AR"/>
        </w:rPr>
        <w:tab/>
        <w:t>la creación, por parte del Pacto de Der</w:t>
      </w:r>
      <w:r>
        <w:rPr>
          <w:rFonts w:ascii="Times New Roman" w:hAnsi="Times New Roman"/>
          <w:sz w:val="24"/>
          <w:szCs w:val="24"/>
          <w:lang w:val="es-AR"/>
        </w:rPr>
        <w:t>echos Civiles y Políticos, de un órgano internacional de supervisión, el – sintomáticamente llamado – Comité de Derechos Humanos, mientras que la supervisión del cumplimiento del Pacto de Derechos Económicos, Sociales y Culturales se encomendaba a un órgan</w:t>
      </w:r>
      <w:r>
        <w:rPr>
          <w:rFonts w:ascii="Times New Roman" w:hAnsi="Times New Roman"/>
          <w:sz w:val="24"/>
          <w:szCs w:val="24"/>
          <w:lang w:val="es-AR"/>
        </w:rPr>
        <w:t>o creado por la Carta de las Naciones Unidas, el Consejo Económico y Social.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w:t>
      </w:r>
      <w:r>
        <w:rPr>
          <w:rFonts w:ascii="Times New Roman" w:hAnsi="Times New Roman"/>
          <w:sz w:val="24"/>
          <w:szCs w:val="24"/>
          <w:lang w:val="es-AR"/>
        </w:rPr>
        <w:tab/>
        <w:t>La consagración, en el Pacto de Derechos Civiles y Políticos, de la obligación estatal de garantizar a toda persona el derecho de  interponer un recurso efectivo en caso de viol</w:t>
      </w:r>
      <w:r>
        <w:rPr>
          <w:rFonts w:ascii="Times New Roman" w:hAnsi="Times New Roman"/>
          <w:sz w:val="24"/>
          <w:szCs w:val="24"/>
          <w:lang w:val="es-AR"/>
        </w:rPr>
        <w:t>ación de los derechos o libertades establecidos en el Pacto , que no se encuentra en el texto del Pacto de Derechos Económicos, Sociales y Culturales. En el mismo sentido, la adopción, en simultáneo con la adopción del Pacto de Derechos Civiles y Políticos</w:t>
      </w:r>
      <w:r>
        <w:rPr>
          <w:rFonts w:ascii="Times New Roman" w:hAnsi="Times New Roman"/>
          <w:sz w:val="24"/>
          <w:szCs w:val="24"/>
          <w:lang w:val="es-AR"/>
        </w:rPr>
        <w:t>, de un Protocolo Facultativo a ese Pacto, que permite la presentación de comunicaciones o quejas ante el Comité de Derechos Humanos en casos de alegada violación a derechos consagrados por el instrumento sustantivo, una vez cumplidos algunos requisitos en</w:t>
      </w:r>
      <w:r>
        <w:rPr>
          <w:rFonts w:ascii="Times New Roman" w:hAnsi="Times New Roman"/>
          <w:sz w:val="24"/>
          <w:szCs w:val="24"/>
          <w:lang w:val="es-AR"/>
        </w:rPr>
        <w:t xml:space="preserve">tre los que se destaca el agotamiento de los recursos de la jurisdicción interna. Ese no fue el caso del Pacto Internacional de Derechos Económicos, Sociales y Culturales – como veremos, la adopción de un Protocolo Facultativo </w:t>
      </w:r>
      <w:r>
        <w:rPr>
          <w:rFonts w:ascii="Times New Roman" w:hAnsi="Times New Roman"/>
          <w:sz w:val="24"/>
          <w:szCs w:val="24"/>
          <w:lang w:val="es-AR"/>
        </w:rPr>
        <w:lastRenderedPageBreak/>
        <w:t>que permite la presentación d</w:t>
      </w:r>
      <w:r>
        <w:rPr>
          <w:rFonts w:ascii="Times New Roman" w:hAnsi="Times New Roman"/>
          <w:sz w:val="24"/>
          <w:szCs w:val="24"/>
          <w:lang w:val="es-AR"/>
        </w:rPr>
        <w:t>e comunicaciones o quejas ante el Comité respectivo en caso de alegada violación se produjo cuarenta y dos años después, en 2008.</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Esta ostensible diferencia de tratamiento, que no condice con el abordaje integral de la Declaración Universal, refleja eviden</w:t>
      </w:r>
      <w:r>
        <w:rPr>
          <w:rFonts w:ascii="Times New Roman" w:hAnsi="Times New Roman"/>
          <w:sz w:val="24"/>
          <w:szCs w:val="24"/>
          <w:lang w:val="es-AR"/>
        </w:rPr>
        <w:t>tes prejuicios subyacentes respecto del carácter de los derechos económicos, sociales y culturales – que responden a la concepción dominante en gran parte del mundo en 1966. La diferencia se explica en parte por motivos políticos y de tradición jurídica: l</w:t>
      </w:r>
      <w:r>
        <w:rPr>
          <w:rFonts w:ascii="Times New Roman" w:hAnsi="Times New Roman"/>
          <w:sz w:val="24"/>
          <w:szCs w:val="24"/>
          <w:lang w:val="es-AR"/>
        </w:rPr>
        <w:t>a insistencia de ligar el derecho a un recurso a la lista de derechos civiles y políticos responde particularmente a la tradición anglosajona, poco proclive a reconocer derechos sociales como derechos fundamentales, y sin embargo puntillosa en la necesidad</w:t>
      </w:r>
      <w:r>
        <w:rPr>
          <w:rFonts w:ascii="Times New Roman" w:hAnsi="Times New Roman"/>
          <w:sz w:val="24"/>
          <w:szCs w:val="24"/>
          <w:lang w:val="es-AR"/>
        </w:rPr>
        <w:t xml:space="preserve"> de vincular derechos e mecanismos de garantía, y refleja también la experiencia regional europea en materia de derechos humanos, que había optado igualmente por la adopción de dos instrumentos diferenciados, tanto por su contenido como por sus mecanismos </w:t>
      </w:r>
      <w:r>
        <w:rPr>
          <w:rFonts w:ascii="Times New Roman" w:hAnsi="Times New Roman"/>
          <w:sz w:val="24"/>
          <w:szCs w:val="24"/>
          <w:lang w:val="es-AR"/>
        </w:rPr>
        <w:t>de supervisión: un Convenio Europeo de Derechos Humanos y Libertades Fundamentales (1950) que contenía fundamentalmente derechos civiles y políticos, y una Carta Social Europea (1961), que incluía derechos sociales, con establecimiento de un mecanismo de t</w:t>
      </w:r>
      <w:r>
        <w:rPr>
          <w:rFonts w:ascii="Times New Roman" w:hAnsi="Times New Roman"/>
          <w:sz w:val="24"/>
          <w:szCs w:val="24"/>
          <w:lang w:val="es-AR"/>
        </w:rPr>
        <w:t>utela judicial internacional sólo en el primer caso. En contraste, la consideración de los derechos económicos, sociales y culturales como normas programáticas o meros objetivos de política pública, sin acceso a mecanismos de garantía, era común a parte de</w:t>
      </w:r>
      <w:r>
        <w:rPr>
          <w:rFonts w:ascii="Times New Roman" w:hAnsi="Times New Roman"/>
          <w:sz w:val="24"/>
          <w:szCs w:val="24"/>
          <w:lang w:val="es-AR"/>
        </w:rPr>
        <w:t>l constitucionalismo social originado en Europa y América Latina y a tradiciones constitucionales como la de los países de la órbita socialista y del movimiento no alineado, entre quienes también era familiar la apelación a la asistencia y cooperación inte</w:t>
      </w:r>
      <w:r>
        <w:rPr>
          <w:rFonts w:ascii="Times New Roman" w:hAnsi="Times New Roman"/>
          <w:sz w:val="24"/>
          <w:szCs w:val="24"/>
          <w:lang w:val="es-AR"/>
        </w:rPr>
        <w:t>rnacional como manifestación de la solidaridad entre los pueblos.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3.3.2) Desarrollos posteriores</w:t>
      </w:r>
    </w:p>
    <w:p w:rsidR="00000000" w:rsidRDefault="007B5A38">
      <w:pPr>
        <w:jc w:val="both"/>
        <w:rPr>
          <w:rFonts w:ascii="Times New Roman" w:hAnsi="Times New Roman"/>
          <w:i/>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A la luz del paso del tiempo, la separación categórica entre tipos de derechos humanos de acuerdo a su adscripción a uno u otro conjunto de derechos parece h</w:t>
      </w:r>
      <w:r>
        <w:rPr>
          <w:rFonts w:ascii="Times New Roman" w:hAnsi="Times New Roman"/>
          <w:sz w:val="24"/>
          <w:szCs w:val="24"/>
          <w:lang w:val="es-AR"/>
        </w:rPr>
        <w:t xml:space="preserve">aber perdido gran parte de su fundamento. Los argumentos al respecto son varios. Una lectura atenta de ambos Pactos muestra que los criterios de asignación de los derechos a uno u otro están lejos de ser exhaustivos: en varios casos, los derechos aparecen </w:t>
      </w:r>
      <w:r>
        <w:rPr>
          <w:rFonts w:ascii="Times New Roman" w:hAnsi="Times New Roman"/>
          <w:sz w:val="24"/>
          <w:szCs w:val="24"/>
          <w:lang w:val="es-AR"/>
        </w:rPr>
        <w:t>repetidos en uno y otro: por ejemplo, ambos pactos consagran la libertad de trabajo y correlativa prohibición de la servidumbre, la libertad sindical, la protección de la niñez y de la familia, y el derecho a participar de la vida cultural. En otros casos,</w:t>
      </w:r>
      <w:r>
        <w:rPr>
          <w:rFonts w:ascii="Times New Roman" w:hAnsi="Times New Roman"/>
          <w:sz w:val="24"/>
          <w:szCs w:val="24"/>
          <w:lang w:val="es-AR"/>
        </w:rPr>
        <w:t xml:space="preserve"> la interpretación de órganos internacionales ha revelado la estrecha interdependencia e indivisibilidad de muchos derechos incluidos en distintos instrumentos: así, el derecho a la vida consagrado en el Pacto de Derechos Civiles y Políticos tiene estrecha</w:t>
      </w:r>
      <w:r>
        <w:rPr>
          <w:rFonts w:ascii="Times New Roman" w:hAnsi="Times New Roman"/>
          <w:sz w:val="24"/>
          <w:szCs w:val="24"/>
          <w:lang w:val="es-AR"/>
        </w:rPr>
        <w:t xml:space="preserve"> relación con los derechos a la alimentación y a la salud establecidos en el Pacto de Derechos Económicos, Sociales y Culturales; la prohibición de trato cruel, inhumano o degradante para las personas privadas de libertad tiene directa vinculación con el a</w:t>
      </w:r>
      <w:r>
        <w:rPr>
          <w:rFonts w:ascii="Times New Roman" w:hAnsi="Times New Roman"/>
          <w:sz w:val="24"/>
          <w:szCs w:val="24"/>
          <w:lang w:val="es-AR"/>
        </w:rPr>
        <w:t>cceso a alimentación, atención en salud, oportunidades de educación y de ocupación y condiciones de habitabilidad del lugar de detención; la protección de la vida privada y familiar tiene evidente correlación con el derecho a la vivienda; el derecho a la e</w:t>
      </w:r>
      <w:r>
        <w:rPr>
          <w:rFonts w:ascii="Times New Roman" w:hAnsi="Times New Roman"/>
          <w:sz w:val="24"/>
          <w:szCs w:val="24"/>
          <w:lang w:val="es-AR"/>
        </w:rPr>
        <w:t xml:space="preserve">ducación está íntimamente vinculado con la </w:t>
      </w:r>
      <w:r>
        <w:rPr>
          <w:rFonts w:ascii="Times New Roman" w:hAnsi="Times New Roman"/>
          <w:sz w:val="24"/>
          <w:szCs w:val="24"/>
          <w:lang w:val="es-AR"/>
        </w:rPr>
        <w:lastRenderedPageBreak/>
        <w:t>libertad de expresión, las libertades religiosas y el ejercicio de derechos políticos. Por último, algunos derechos incluidos en el Pacto de Derechos Civiles y Políticos son en realidad derechos de alcance transve</w:t>
      </w:r>
      <w:r>
        <w:rPr>
          <w:rFonts w:ascii="Times New Roman" w:hAnsi="Times New Roman"/>
          <w:sz w:val="24"/>
          <w:szCs w:val="24"/>
          <w:lang w:val="es-AR"/>
        </w:rPr>
        <w:t>rsal, de modo que es arbitrario confinarlos a la categoría de derecho civil o político: el principio de igualdad y la prohibición de discriminación son aplicables tanto en materia civil y política como en materia económica, social y cultural; el derecho de</w:t>
      </w:r>
      <w:r>
        <w:rPr>
          <w:rFonts w:ascii="Times New Roman" w:hAnsi="Times New Roman"/>
          <w:sz w:val="24"/>
          <w:szCs w:val="24"/>
          <w:lang w:val="es-AR"/>
        </w:rPr>
        <w:t xml:space="preserve"> acceder a la justicia y las garantías procedimentales son relevantes tanto en materia civil y política como en materia económica, social y cultural.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cuanto a las modalizaciones de las obligaciones adscriptas a los derechos económicos, sociales y cultur</w:t>
      </w:r>
      <w:r>
        <w:rPr>
          <w:rFonts w:ascii="Times New Roman" w:hAnsi="Times New Roman"/>
          <w:sz w:val="24"/>
          <w:szCs w:val="24"/>
          <w:lang w:val="es-AR"/>
        </w:rPr>
        <w:t xml:space="preserve">ales – “realización progresiva” y subordinación de la obligación al “máximo de los recursos disponibles” –, estas no parecen estar vinculada necesariamente a la lista de derechos incluida bajo el Pacto de Derechos Económicos, Sociales y Culturales, ni ser </w:t>
      </w:r>
      <w:r>
        <w:rPr>
          <w:rFonts w:ascii="Times New Roman" w:hAnsi="Times New Roman"/>
          <w:sz w:val="24"/>
          <w:szCs w:val="24"/>
          <w:lang w:val="es-AR"/>
        </w:rPr>
        <w:t>irrelevantes para derechos incluidos bajo el Pacto de Derechos Civiles y Políticos. Como lo ha aclarado oportunamente el Comité de Derechos Económicos, Sociales y Culturales, muchas obligaciones en el PIDESC son de carácter inmediato y no requieren mayorme</w:t>
      </w:r>
      <w:r>
        <w:rPr>
          <w:rFonts w:ascii="Times New Roman" w:hAnsi="Times New Roman"/>
          <w:sz w:val="24"/>
          <w:szCs w:val="24"/>
          <w:lang w:val="es-AR"/>
        </w:rPr>
        <w:t>nte de recursos para su cumplimiento: así, para derechos tales como la libertad sindical y para aspectos comunes a todos los derechos del Pacto, como el deber de respeto en las situaciones en las que el titular ya goza del derecho en cuestión, la progresiv</w:t>
      </w:r>
      <w:r>
        <w:rPr>
          <w:rFonts w:ascii="Times New Roman" w:hAnsi="Times New Roman"/>
          <w:sz w:val="24"/>
          <w:szCs w:val="24"/>
          <w:lang w:val="es-AR"/>
        </w:rPr>
        <w:t xml:space="preserve">idad o la limitación del máximo de los recursos disponibles son poco significativas. Inversamente, la progresividad y la limitación del máximo de los recursos disponibles parecen altamente relevantes, aunque el Pacto de Derechos Civiles y Políticos no las </w:t>
      </w:r>
      <w:r>
        <w:rPr>
          <w:rFonts w:ascii="Times New Roman" w:hAnsi="Times New Roman"/>
          <w:sz w:val="24"/>
          <w:szCs w:val="24"/>
          <w:lang w:val="es-AR"/>
        </w:rPr>
        <w:t>mencione, en aquellos aspectos en los que el cumplimiento de un derecho consagrado en ese instrumento demande la disposición de recursos – como en los casos del acceso a la justicia, el ejercicio de derechos electorales o el carácter adecuado de los establ</w:t>
      </w:r>
      <w:r>
        <w:rPr>
          <w:rFonts w:ascii="Times New Roman" w:hAnsi="Times New Roman"/>
          <w:sz w:val="24"/>
          <w:szCs w:val="24"/>
          <w:lang w:val="es-AR"/>
        </w:rPr>
        <w:t>ecimientos carcelarios.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el mismo sentido, y más allá de la modesta evolución que ha tenido la interpretación de las obligaciones de asistencia y cooperación internacional en el marco del PIDESC, tampoco parece justificado limitar el campo de la asistenc</w:t>
      </w:r>
      <w:r>
        <w:rPr>
          <w:rFonts w:ascii="Times New Roman" w:hAnsi="Times New Roman"/>
          <w:sz w:val="24"/>
          <w:szCs w:val="24"/>
          <w:lang w:val="es-AR"/>
        </w:rPr>
        <w:t>ia y cooperación internacional en materia de derechos humanos únicamente al ámbito de los derechos económicos, sociales y culturales. Por el contrario, en muchos ámbitos vinculados con derechos civiles y políticos que requieren de recursos, de organización</w:t>
      </w:r>
      <w:r>
        <w:rPr>
          <w:rFonts w:ascii="Times New Roman" w:hAnsi="Times New Roman"/>
          <w:sz w:val="24"/>
          <w:szCs w:val="24"/>
          <w:lang w:val="es-AR"/>
        </w:rPr>
        <w:t xml:space="preserve"> institucional, de capacitación y del conocimiento de buenas prácticas – como la administración de la justicia criminal, el entrenamiento de servidores públicos y personal policial y penitenciario para combatir y erradicar la tortura, el empleo de tecnolog</w:t>
      </w:r>
      <w:r>
        <w:rPr>
          <w:rFonts w:ascii="Times New Roman" w:hAnsi="Times New Roman"/>
          <w:sz w:val="24"/>
          <w:szCs w:val="24"/>
          <w:lang w:val="es-AR"/>
        </w:rPr>
        <w:t>ía para la investigación de graves violaciones de derechos civiles y políticos y la satisfacción del derecho a la memoria de las víctimas y sus familiares o la organización de elecciones – la asistencia y cooperación internacionales pueden constituir un me</w:t>
      </w:r>
      <w:r>
        <w:rPr>
          <w:rFonts w:ascii="Times New Roman" w:hAnsi="Times New Roman"/>
          <w:sz w:val="24"/>
          <w:szCs w:val="24"/>
          <w:lang w:val="es-AR"/>
        </w:rPr>
        <w:t xml:space="preserve">dio idóneo para permitir a los Estados cumplir con sus obligaciones en esos ámbitos.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Algunas de las diferencias originales entre ambos pactos fueron superadas por el tiempo: en 1985, el Consejo Económico y Social de Naciones Unidas creó un Comité de Derec</w:t>
      </w:r>
      <w:r>
        <w:rPr>
          <w:rFonts w:ascii="Times New Roman" w:hAnsi="Times New Roman"/>
          <w:sz w:val="24"/>
          <w:szCs w:val="24"/>
          <w:lang w:val="es-AR"/>
        </w:rPr>
        <w:t>hos Económicos, Sociales y Culturales a imagen de los demás órganos de tratados ya existentes y le delegó sus funciones de supervisión del cumplimiento del PIDESC. El Comité cumple desde entonces con la función de revisar los informes periódicos de los Est</w:t>
      </w:r>
      <w:r>
        <w:rPr>
          <w:rFonts w:ascii="Times New Roman" w:hAnsi="Times New Roman"/>
          <w:sz w:val="24"/>
          <w:szCs w:val="24"/>
          <w:lang w:val="es-AR"/>
        </w:rPr>
        <w:t xml:space="preserve">ados partes y de emitir observaciones generales que constituyen interpretaciones autorizadas del contenido de los derechos y obligaciones consagrados por el Pacto. </w:t>
      </w:r>
    </w:p>
    <w:p w:rsidR="00000000" w:rsidRDefault="007B5A38">
      <w:pPr>
        <w:jc w:val="both"/>
        <w:rPr>
          <w:rFonts w:ascii="Times New Roman" w:hAnsi="Times New Roman"/>
          <w:sz w:val="24"/>
          <w:szCs w:val="24"/>
          <w:lang w:val="es-AR"/>
        </w:rPr>
      </w:pPr>
      <w:r>
        <w:rPr>
          <w:rFonts w:ascii="Times New Roman" w:hAnsi="Times New Roman"/>
          <w:sz w:val="24"/>
          <w:szCs w:val="24"/>
          <w:lang w:val="es-AR"/>
        </w:rPr>
        <w:lastRenderedPageBreak/>
        <w:t>Respecto de la justiciabilidad y el acceso a protección judicial de los derechos económicos</w:t>
      </w:r>
      <w:r>
        <w:rPr>
          <w:rFonts w:ascii="Times New Roman" w:hAnsi="Times New Roman"/>
          <w:sz w:val="24"/>
          <w:szCs w:val="24"/>
          <w:lang w:val="es-AR"/>
        </w:rPr>
        <w:t>, sociales y culturales, el propio Comité dio los primeros pasos hacia el reconocimiento de que no existen obstáculos conceptuales para considerar que al menos algunas obligaciones correspondientes a los derechos consagrados por el PIDESC pueden ser objeto</w:t>
      </w:r>
      <w:r>
        <w:rPr>
          <w:rFonts w:ascii="Times New Roman" w:hAnsi="Times New Roman"/>
          <w:sz w:val="24"/>
          <w:szCs w:val="24"/>
          <w:lang w:val="es-AR"/>
        </w:rPr>
        <w:t xml:space="preserve"> de reclamo en sede judicial o cuasi-judiciales, y de que el acceso a mecanismos de queja a nivel nacional en caso de presunta violación constituye una de las medidas adecuadas para la realización de los derechos del Pacto. El 10 de diciembre de 2008, desp</w:t>
      </w:r>
      <w:r>
        <w:rPr>
          <w:rFonts w:ascii="Times New Roman" w:hAnsi="Times New Roman"/>
          <w:sz w:val="24"/>
          <w:szCs w:val="24"/>
          <w:lang w:val="es-AR"/>
        </w:rPr>
        <w:t>ués de cinco años de discusión, la Asamblea General de Naciones Unidas adoptó el Protocolo Facultativo al Pacto de Derechos Económicos, Sociales y Culturales, que permitirá al Comité de Derechos Económicos, Sociales y Culturales recibir comunicaciones o qu</w:t>
      </w:r>
      <w:r>
        <w:rPr>
          <w:rFonts w:ascii="Times New Roman" w:hAnsi="Times New Roman"/>
          <w:sz w:val="24"/>
          <w:szCs w:val="24"/>
          <w:lang w:val="es-AR"/>
        </w:rPr>
        <w:t>ejas en caso de alegada violación de los derechos consagrados en el PIDESC, en condiciones similares a las existentes para acceder a otros mecanismos de queja similar – como los establecidos por el Protocolo Facultativo al Pacto de Derechos Civiles y Polít</w:t>
      </w:r>
      <w:r>
        <w:rPr>
          <w:rFonts w:ascii="Times New Roman" w:hAnsi="Times New Roman"/>
          <w:sz w:val="24"/>
          <w:szCs w:val="24"/>
          <w:lang w:val="es-AR"/>
        </w:rPr>
        <w:t xml:space="preserve">icos y en otros instrumentos más recientes como los Protocolos Facultativos a la Convención para la Eliminación de Todas las Formas de Discriminación contra la Mujer y a la Convención sobre los Derechos de las Personas con Discapacidad.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Ya he revisado alg</w:t>
      </w:r>
      <w:r>
        <w:rPr>
          <w:rFonts w:ascii="Times New Roman" w:hAnsi="Times New Roman"/>
          <w:sz w:val="24"/>
          <w:szCs w:val="24"/>
          <w:lang w:val="es-AR"/>
        </w:rPr>
        <w:t>unas de las diferencias textuales entre el Pacto de Derechos Civiles y Políticos y el de Derechos Económicos, Sociales y Culturales, y la gradual tendencia a la relativización de la importancia de esas diferencias. Me avocaré ahora a consignar sumariamente</w:t>
      </w:r>
      <w:r>
        <w:rPr>
          <w:rFonts w:ascii="Times New Roman" w:hAnsi="Times New Roman"/>
          <w:sz w:val="24"/>
          <w:szCs w:val="24"/>
          <w:lang w:val="es-AR"/>
        </w:rPr>
        <w:t xml:space="preserve"> los derechos contenidos el Pacto.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Pacto Internacional de Derechos Económicos, Sociales y Culturales, cuyo lenguaje sigue de cerca y desarrolla las disposiciones en esta materia ya contenidas en la Declaración Universal, incluye los siguientes derechos:</w:t>
      </w:r>
      <w:r>
        <w:rPr>
          <w:rFonts w:ascii="Times New Roman" w:hAnsi="Times New Roman"/>
          <w:sz w:val="24"/>
          <w:szCs w:val="24"/>
          <w:lang w:val="es-AR"/>
        </w:rPr>
        <w:t xml:space="preserve"> el derecho al trabajo (art. 6), derechos laborales individuales (art. 7) y colectivos, incluido el derecho de huelga (art. 8) , el derecho a la seguridad social y al seguro social (art. 9), el derecho a la protección de la familia, de la maternidad y de l</w:t>
      </w:r>
      <w:r>
        <w:rPr>
          <w:rFonts w:ascii="Times New Roman" w:hAnsi="Times New Roman"/>
          <w:sz w:val="24"/>
          <w:szCs w:val="24"/>
          <w:lang w:val="es-AR"/>
        </w:rPr>
        <w:t>a infancia (art. 10), el derecho a un nivel de vida adecuado, incluyendo vivienda, alimentación y vestido, con referencia particular a las obligaciones emanadas del derecho a la alimentación (art. 11); el derecho a la salud (art. 12), el derecho a la educa</w:t>
      </w:r>
      <w:r>
        <w:rPr>
          <w:rFonts w:ascii="Times New Roman" w:hAnsi="Times New Roman"/>
          <w:sz w:val="24"/>
          <w:szCs w:val="24"/>
          <w:lang w:val="es-AR"/>
        </w:rPr>
        <w:t>ción, incluyendo el carácter universal, gratuito y obligatorio de la enseñanza primaria (arts. 13 y 14) y una disposición sobre derechos culturales, que incluye el derecho a participar en la vida cultural, el derecho de gozar de los beneficios del progreso</w:t>
      </w:r>
      <w:r>
        <w:rPr>
          <w:rFonts w:ascii="Times New Roman" w:hAnsi="Times New Roman"/>
          <w:sz w:val="24"/>
          <w:szCs w:val="24"/>
          <w:lang w:val="es-AR"/>
        </w:rPr>
        <w:t xml:space="preserve"> científico y sus aplicaciones y el derecho de los autores de obras científicas, literarias y artísticas a la protección de sus intereses morales y materiales, y el derecho de disfrutar de los beneficios del progreso científico y sus aplicaciones (art. 15)</w:t>
      </w:r>
      <w:r>
        <w:rPr>
          <w:rFonts w:ascii="Times New Roman" w:hAnsi="Times New Roman"/>
          <w:sz w:val="24"/>
          <w:szCs w:val="24"/>
          <w:lang w:val="es-AR"/>
        </w:rPr>
        <w:t>.</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Pacto articula con mayor nivel de detalle las obligaciones que los Estados deben cumplir para garantizar la plena realización de cada uno de los derechos que consagra, en relación con el texto más escueto de la Declaración Universal. En todo caso, una</w:t>
      </w:r>
      <w:r>
        <w:rPr>
          <w:rFonts w:ascii="Times New Roman" w:hAnsi="Times New Roman"/>
          <w:sz w:val="24"/>
          <w:szCs w:val="24"/>
          <w:lang w:val="es-AR"/>
        </w:rPr>
        <w:t xml:space="preserve"> de las labores más trascendentes del Comité de Derechos Económicos, Sociales y Culturales ha sido la de desarrollar una interpretación comprensiva tanto de las obligaciones generales establecidas por el PIDESC – como las contenidas en los artículos 2.1, 2</w:t>
      </w:r>
      <w:r>
        <w:rPr>
          <w:rFonts w:ascii="Times New Roman" w:hAnsi="Times New Roman"/>
          <w:sz w:val="24"/>
          <w:szCs w:val="24"/>
          <w:lang w:val="es-AR"/>
        </w:rPr>
        <w:t>.2 y 3 –, como de las obligaciones específicas referidas a cada uno de los derechos del tratado. A la fecha de escritura de este trabajo, el Comité había adoptado observaciones generales referidas a las obligaciones genéricas contenidas en el art. 2.1, a l</w:t>
      </w:r>
      <w:r>
        <w:rPr>
          <w:rFonts w:ascii="Times New Roman" w:hAnsi="Times New Roman"/>
          <w:sz w:val="24"/>
          <w:szCs w:val="24"/>
          <w:lang w:val="es-AR"/>
        </w:rPr>
        <w:t xml:space="preserve">a prohibición de discriminación y su aplicación a los derechos del Pacto, a la aplicación interna del Pacto, y a los derechos a la vivienda, </w:t>
      </w:r>
      <w:r>
        <w:rPr>
          <w:rFonts w:ascii="Times New Roman" w:hAnsi="Times New Roman"/>
          <w:sz w:val="24"/>
          <w:szCs w:val="24"/>
          <w:lang w:val="es-AR"/>
        </w:rPr>
        <w:lastRenderedPageBreak/>
        <w:t>alimentación, educación, salud, agua, trabajo, protección de los intereses morales y materiales de los autores de o</w:t>
      </w:r>
      <w:r>
        <w:rPr>
          <w:rFonts w:ascii="Times New Roman" w:hAnsi="Times New Roman"/>
          <w:sz w:val="24"/>
          <w:szCs w:val="24"/>
          <w:lang w:val="es-AR"/>
        </w:rPr>
        <w:t>bras científicas, artísticas y literarias, seguridad social y participación en la vida cultural, desarrollando un esquema interpretativo útil para entender el contenido de las obligaciones estatales y las posibles violaciones de estos derechos.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Es de desta</w:t>
      </w:r>
      <w:r>
        <w:rPr>
          <w:rFonts w:ascii="Times New Roman" w:hAnsi="Times New Roman"/>
          <w:sz w:val="24"/>
          <w:szCs w:val="24"/>
          <w:lang w:val="es-AR"/>
        </w:rPr>
        <w:t>car también que la tarea de esclarecimiento conceptual del Comité ha sido en general fruto del diálogo con otras agencias técnicas del sistema de Naciones Unidas – como la Organización Internacional del Trabajo, la FAO, la Organización Mundial de la Salud,</w:t>
      </w:r>
      <w:r>
        <w:rPr>
          <w:rFonts w:ascii="Times New Roman" w:hAnsi="Times New Roman"/>
          <w:sz w:val="24"/>
          <w:szCs w:val="24"/>
          <w:lang w:val="es-AR"/>
        </w:rPr>
        <w:t xml:space="preserve"> la UNESCO y el ONU- Hábitat, entre otros.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Además del trabajo del Comité, en los últimos quince años los órganos basados sobre la Carta de las Naciones Unidas – como el actual Consejo de Derechos Humanos, sucesor dela anterior Comisión de Derechos Humanos</w:t>
      </w:r>
      <w:r>
        <w:rPr>
          <w:rFonts w:ascii="Times New Roman" w:hAnsi="Times New Roman"/>
          <w:sz w:val="24"/>
          <w:szCs w:val="24"/>
          <w:lang w:val="es-AR"/>
        </w:rPr>
        <w:t xml:space="preserve"> – han contribuido al desarrollo del contenido de los derechos económicos, sociales y culturales a través de la creación de mandatos de procedimientos especiales – relatores especiales y expertos independientes – en la materia. Desde 1990 se han creados ma</w:t>
      </w:r>
      <w:r>
        <w:rPr>
          <w:rFonts w:ascii="Times New Roman" w:hAnsi="Times New Roman"/>
          <w:sz w:val="24"/>
          <w:szCs w:val="24"/>
          <w:lang w:val="es-AR"/>
        </w:rPr>
        <w:t>ndatos específicos en materia de derecho a la educación, derecho a la salud, derecho a la vivienda, derecho a la alimentación, derecho al agua y al saneamiento, y derechos culturales, y otros mandatos con importantes vínculos con el tema – como el de pobre</w:t>
      </w:r>
      <w:r>
        <w:rPr>
          <w:rFonts w:ascii="Times New Roman" w:hAnsi="Times New Roman"/>
          <w:sz w:val="24"/>
          <w:szCs w:val="24"/>
          <w:lang w:val="es-AR"/>
        </w:rPr>
        <w:t>za extrema y derechos humanos, residuos tóxicos y derechos humanos, pueblos indígenas y formas contemporáneas de esclavitud. Una de las funciones de los procedimientos especiales es la de elaborar informes temáticos sobre aspectos relacionados con su manda</w:t>
      </w:r>
      <w:r>
        <w:rPr>
          <w:rFonts w:ascii="Times New Roman" w:hAnsi="Times New Roman"/>
          <w:sz w:val="24"/>
          <w:szCs w:val="24"/>
          <w:lang w:val="es-AR"/>
        </w:rPr>
        <w:t xml:space="preserve">to – muchos de los informes temáticos en materia de derechos económicos, sociales y culturales constituyeron la base para posteriores desarrollos del Comité de Derechos Económicos, Sociales y Culturales, y aportan elementos útiles para comprender aspectos </w:t>
      </w:r>
      <w:r>
        <w:rPr>
          <w:rFonts w:ascii="Times New Roman" w:hAnsi="Times New Roman"/>
          <w:sz w:val="24"/>
          <w:szCs w:val="24"/>
          <w:lang w:val="es-AR"/>
        </w:rPr>
        <w:t>particulares del contenido de los respectivos derechos y las correlativas obligaciones, o su alcance en situaciones o respecto de grupos de personas específicas.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3.3.3) Los derechos económicos, sociales y culturales en otros tratados universales de derech</w:t>
      </w:r>
      <w:r>
        <w:rPr>
          <w:rFonts w:ascii="Times New Roman" w:hAnsi="Times New Roman"/>
          <w:i/>
          <w:sz w:val="24"/>
          <w:szCs w:val="24"/>
          <w:lang w:val="es-AR"/>
        </w:rPr>
        <w:t>os humanos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La historia de codificación internacional de los derechos humanos posterior a la adopción de los dos Pactos de 1966 recupera en gran medida el espíritu de indivisibilidad, interdependencia e igual jerarquía de todos los derechos humanos que tra</w:t>
      </w:r>
      <w:r>
        <w:rPr>
          <w:rFonts w:ascii="Times New Roman" w:hAnsi="Times New Roman"/>
          <w:sz w:val="24"/>
          <w:szCs w:val="24"/>
          <w:lang w:val="es-AR"/>
        </w:rPr>
        <w:t>nsluce de la Declaración Universal de 1948. Una importante línea de desarrollo del proceso de codificación internacional ha consistido en la especificación de derechos para grupos determinados de titulares de derechos – como las mujeres, los niños, los tra</w:t>
      </w:r>
      <w:r>
        <w:rPr>
          <w:rFonts w:ascii="Times New Roman" w:hAnsi="Times New Roman"/>
          <w:sz w:val="24"/>
          <w:szCs w:val="24"/>
          <w:lang w:val="es-AR"/>
        </w:rPr>
        <w:t>bajadores migrantes, las personas con discapacidad y los pueblos indígenas. Este proceso se ha caracterizado por el gradual reemplazo de un abordaje puramente antidiscriminatorio – como el reflejado en la ya mencionada Convención Internacional para la Elim</w:t>
      </w:r>
      <w:r>
        <w:rPr>
          <w:rFonts w:ascii="Times New Roman" w:hAnsi="Times New Roman"/>
          <w:sz w:val="24"/>
          <w:szCs w:val="24"/>
          <w:lang w:val="es-AR"/>
        </w:rPr>
        <w:t>inación de Todas las Formas de Discriminación Racial de 1965 – en favor de enfoques de carácter holístico o integral, en el que junto con el abordaje antidiscriminatorio tradicional se enriquece y complementa con principios específicos y con la identificac</w:t>
      </w:r>
      <w:r>
        <w:rPr>
          <w:rFonts w:ascii="Times New Roman" w:hAnsi="Times New Roman"/>
          <w:sz w:val="24"/>
          <w:szCs w:val="24"/>
          <w:lang w:val="es-AR"/>
        </w:rPr>
        <w:t xml:space="preserve">ión de áreas que requieren de especial atención por parte del Estado en relación con </w:t>
      </w:r>
      <w:r>
        <w:rPr>
          <w:rFonts w:ascii="Times New Roman" w:hAnsi="Times New Roman"/>
          <w:sz w:val="24"/>
          <w:szCs w:val="24"/>
          <w:lang w:val="es-AR"/>
        </w:rPr>
        <w:lastRenderedPageBreak/>
        <w:t>cada uno de los grupos mencionados. En este abordaje, se recupera una visión interdependiente e indivisible de todos los derechos humanos, relativizándose la distinción en</w:t>
      </w:r>
      <w:r>
        <w:rPr>
          <w:rFonts w:ascii="Times New Roman" w:hAnsi="Times New Roman"/>
          <w:sz w:val="24"/>
          <w:szCs w:val="24"/>
          <w:lang w:val="es-AR"/>
        </w:rPr>
        <w:t>tre derechos civiles y políticos y derechos económicos, sociales y culturales.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El primer jalón en este camino fue la adopción, en 1979, de la Convención para la Eliminación de Todas las Formas de Discriminación contra la Mujer. Aunque su título sea similar</w:t>
      </w:r>
      <w:r>
        <w:rPr>
          <w:rFonts w:ascii="Times New Roman" w:hAnsi="Times New Roman"/>
          <w:sz w:val="24"/>
          <w:szCs w:val="24"/>
          <w:lang w:val="es-AR"/>
        </w:rPr>
        <w:t xml:space="preserve"> al de la Convención para la Eliminación de Todas las Formas de Discriminación Racial, su estructura es más compleja: no se limita a prohibir la discriminación por razón de género en relación con los derechos humanos ya declarados en instrumentos anteriore</w:t>
      </w:r>
      <w:r>
        <w:rPr>
          <w:rFonts w:ascii="Times New Roman" w:hAnsi="Times New Roman"/>
          <w:sz w:val="24"/>
          <w:szCs w:val="24"/>
          <w:lang w:val="es-AR"/>
        </w:rPr>
        <w:t>s, sino que avanza en varios sentidos – en la identificación de las medidas a adoptar por el Estado para erradicar la discriminación, en especial en el ámbito privado, y en particular, en lo que interesa a los efectos de este trabajo, en el análisis especí</w:t>
      </w:r>
      <w:r>
        <w:rPr>
          <w:rFonts w:ascii="Times New Roman" w:hAnsi="Times New Roman"/>
          <w:sz w:val="24"/>
          <w:szCs w:val="24"/>
          <w:lang w:val="es-AR"/>
        </w:rPr>
        <w:t>fico de formas típicas de discriminación o exclusión de las mujeres en diferentes ámbitos, con una descripción más precisa tanto de las prohibiciones como de las medidas positivas que los Estados parte deben adoptar. En esta línea, la Convención dedica una</w:t>
      </w:r>
      <w:r>
        <w:rPr>
          <w:rFonts w:ascii="Times New Roman" w:hAnsi="Times New Roman"/>
          <w:sz w:val="24"/>
          <w:szCs w:val="24"/>
          <w:lang w:val="es-AR"/>
        </w:rPr>
        <w:t xml:space="preserve"> parte importante de su texto a la discriminación por razones de género y las medidas para erradicarla en materia de derechos económicos, sociales y culturales – en particular, en materia de educación, empleo, seguridad social, maternidad, salud, con espec</w:t>
      </w:r>
      <w:r>
        <w:rPr>
          <w:rFonts w:ascii="Times New Roman" w:hAnsi="Times New Roman"/>
          <w:sz w:val="24"/>
          <w:szCs w:val="24"/>
          <w:lang w:val="es-AR"/>
        </w:rPr>
        <w:t>ial mención a la salud reproductiva, y otras esferas de la vida económica y social, e identifica además ámbitos específicos donde se requiere la acción del Estado, como el rural.  Con ello, aunque la Convención no pretende crear nuevos derechos, se precisa</w:t>
      </w:r>
      <w:r>
        <w:rPr>
          <w:rFonts w:ascii="Times New Roman" w:hAnsi="Times New Roman"/>
          <w:sz w:val="24"/>
          <w:szCs w:val="24"/>
          <w:lang w:val="es-AR"/>
        </w:rPr>
        <w:t xml:space="preserve"> aún más el contenido y las medidas que el Estado debe adoptar en materia de derechos económicos, sociales y culturales. El Comité para la Eliminación de la Discriminación contra la Mujer ha avanzado en la interpretación de las obligaciones estatales en ma</w:t>
      </w:r>
      <w:r>
        <w:rPr>
          <w:rFonts w:ascii="Times New Roman" w:hAnsi="Times New Roman"/>
          <w:sz w:val="24"/>
          <w:szCs w:val="24"/>
          <w:lang w:val="es-AR"/>
        </w:rPr>
        <w:t>teria de derechos económicos, sociales y culturales de la mujer, a través de la adopción de Observaciones Generales y de la decisión de comunicaciones individuales habilitadas por el Protocolo Facultativo de la Convención.</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Esta vía es profundizada por la C</w:t>
      </w:r>
      <w:r>
        <w:rPr>
          <w:rFonts w:ascii="Times New Roman" w:hAnsi="Times New Roman"/>
          <w:sz w:val="24"/>
          <w:szCs w:val="24"/>
          <w:lang w:val="es-AR"/>
        </w:rPr>
        <w:t>onvención sobre los Derechos del Niño, adoptada en 1989. Aunque este instrumento incluye también dimensiones antidiscriminatorias, su texto va más allá, articulando principios propios, como la noción de “interés superior del niño”, su carácter de titular d</w:t>
      </w:r>
      <w:r>
        <w:rPr>
          <w:rFonts w:ascii="Times New Roman" w:hAnsi="Times New Roman"/>
          <w:sz w:val="24"/>
          <w:szCs w:val="24"/>
          <w:lang w:val="es-AR"/>
        </w:rPr>
        <w:t>e derechos, el reconocimiento de su autonomía y derecho a ser oído, en  consonancia con la evolución de sus facultades y sus necesidades específicas de protección. En este sentido, la Convención aborda con detalle las obligaciones estatales en relación con</w:t>
      </w:r>
      <w:r>
        <w:rPr>
          <w:rFonts w:ascii="Times New Roman" w:hAnsi="Times New Roman"/>
          <w:sz w:val="24"/>
          <w:szCs w:val="24"/>
          <w:lang w:val="es-AR"/>
        </w:rPr>
        <w:t xml:space="preserve"> los derechos humanos consagrados en instrumentos internacionales anteriores, dedicando una parte importante de su texto a los derechos económicos, sociales y culturales, y especificando algunas obligaciones establecidas en forma genérica en esos instrumen</w:t>
      </w:r>
      <w:r>
        <w:rPr>
          <w:rFonts w:ascii="Times New Roman" w:hAnsi="Times New Roman"/>
          <w:sz w:val="24"/>
          <w:szCs w:val="24"/>
          <w:lang w:val="es-AR"/>
        </w:rPr>
        <w:t xml:space="preserve">tos respecto de niños en situaciones definidas – como los niños privados de su medio familiar, los niños refugiados, los niños con discapacidad  o los niños indígenas o pertenecientes a minorías étnicas, religiosas o lingüísticas, los niños en situaciones </w:t>
      </w:r>
      <w:r>
        <w:rPr>
          <w:rFonts w:ascii="Times New Roman" w:hAnsi="Times New Roman"/>
          <w:sz w:val="24"/>
          <w:szCs w:val="24"/>
          <w:lang w:val="es-AR"/>
        </w:rPr>
        <w:t>de conflicto armado y los niños en conflicto con la ley. La Convención aborda con detalle las obligaciones estatales en materia de derecho a la salud, seguridad social, derecho a un nivel de vida adecuado, educación, descanso, esparcimiento y juego, partic</w:t>
      </w:r>
      <w:r>
        <w:rPr>
          <w:rFonts w:ascii="Times New Roman" w:hAnsi="Times New Roman"/>
          <w:sz w:val="24"/>
          <w:szCs w:val="24"/>
          <w:lang w:val="es-AR"/>
        </w:rPr>
        <w:t>ipación en la vida artística y cultural, trabajo infantil, protección contra formas de abuso y explotación, incluyendo la adopción de medidas apropiadas para promover su recuperación física y psicológica y reintegración social.  El Comité de los Derechos d</w:t>
      </w:r>
      <w:r>
        <w:rPr>
          <w:rFonts w:ascii="Times New Roman" w:hAnsi="Times New Roman"/>
          <w:sz w:val="24"/>
          <w:szCs w:val="24"/>
          <w:lang w:val="es-AR"/>
        </w:rPr>
        <w:t xml:space="preserve">el Niño, órgano de supervisión del cumplimiento de la Convención, también ha contribuido en la </w:t>
      </w:r>
      <w:r>
        <w:rPr>
          <w:rFonts w:ascii="Times New Roman" w:hAnsi="Times New Roman"/>
          <w:sz w:val="24"/>
          <w:szCs w:val="24"/>
          <w:lang w:val="es-AR"/>
        </w:rPr>
        <w:lastRenderedPageBreak/>
        <w:t>clarificación de las pertinentes obligaciones en materia de derechos económicos, sociales y culturales a través de la adopción de Observaciones Generales.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199</w:t>
      </w:r>
      <w:r>
        <w:rPr>
          <w:rFonts w:ascii="Times New Roman" w:hAnsi="Times New Roman"/>
          <w:sz w:val="24"/>
          <w:szCs w:val="24"/>
          <w:lang w:val="es-AR"/>
        </w:rPr>
        <w:t xml:space="preserve">0 la comunidad internacional adoptó la Convención Internacional sobre la Protección de Todos los Trabajadores Migratorios y sus Familias, que también adopta un enfoque holístico. La Convención distingue entre derechos de todos los trabajadores migratorios </w:t>
      </w:r>
      <w:r>
        <w:rPr>
          <w:rFonts w:ascii="Times New Roman" w:hAnsi="Times New Roman"/>
          <w:sz w:val="24"/>
          <w:szCs w:val="24"/>
          <w:lang w:val="es-AR"/>
        </w:rPr>
        <w:t>y sus familias, independientemente de su condición migratoria, y derechos adicionales de los trabajadores migrantes en situación regular y sus familias. En ambos casos, la Convención aborda tanto derechos civiles y políticos como derechos económicos, socia</w:t>
      </w:r>
      <w:r>
        <w:rPr>
          <w:rFonts w:ascii="Times New Roman" w:hAnsi="Times New Roman"/>
          <w:sz w:val="24"/>
          <w:szCs w:val="24"/>
          <w:lang w:val="es-AR"/>
        </w:rPr>
        <w:t xml:space="preserve">les y culturales – entre ellos, los derechos laborales individuales y colectivos, el derecho a la seguridad social, el derecho a la salud, el derecho a la educación y los derechos culturales.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Una nueva manifestación de esta tendencia de recuperación de la</w:t>
      </w:r>
      <w:r>
        <w:rPr>
          <w:rFonts w:ascii="Times New Roman" w:hAnsi="Times New Roman"/>
          <w:sz w:val="24"/>
          <w:szCs w:val="24"/>
          <w:lang w:val="es-AR"/>
        </w:rPr>
        <w:t xml:space="preserve"> interdependencia, indivisibilidad e igual valor de todos los derechos humanos, y de la preferencia por un abordaje holístico, fue la adopción, en diciembre de 2006, de la Convención sobre los Derechos de las Personas con Discapacidad. Además de un fuerte </w:t>
      </w:r>
      <w:r>
        <w:rPr>
          <w:rFonts w:ascii="Times New Roman" w:hAnsi="Times New Roman"/>
          <w:sz w:val="24"/>
          <w:szCs w:val="24"/>
          <w:lang w:val="es-AR"/>
        </w:rPr>
        <w:t>contenido antidiscriminatorio – que incluye la calificación de discriminación por incumplimiento de obligaciones positivas –, la Convención incorpora obligaciones transversales, igualmente relevantes para derechos civiles y políticos como para derechos eco</w:t>
      </w:r>
      <w:r>
        <w:rPr>
          <w:rFonts w:ascii="Times New Roman" w:hAnsi="Times New Roman"/>
          <w:sz w:val="24"/>
          <w:szCs w:val="24"/>
          <w:lang w:val="es-AR"/>
        </w:rPr>
        <w:t xml:space="preserve">nómicos, sociales y culturales – como las obligaciones en materia de accesibilidad –, contiene formulaciones novedosas de derechos que incluyen tanto aspectos relacionados con libertades como acceso a prestaciones y servicios – como el derecho de vivir en </w:t>
      </w:r>
      <w:r>
        <w:rPr>
          <w:rFonts w:ascii="Times New Roman" w:hAnsi="Times New Roman"/>
          <w:sz w:val="24"/>
          <w:szCs w:val="24"/>
          <w:lang w:val="es-AR"/>
        </w:rPr>
        <w:t>forma independiente y a ser incluido en la comunidad y el derecho a la movilidad personal – y articula y detalla obligaciones específicas respecto de las personas con discapacidad en materia de derechos económicos, sociales y culturales ya reconocidos – co</w:t>
      </w:r>
      <w:r>
        <w:rPr>
          <w:rFonts w:ascii="Times New Roman" w:hAnsi="Times New Roman"/>
          <w:sz w:val="24"/>
          <w:szCs w:val="24"/>
          <w:lang w:val="es-AR"/>
        </w:rPr>
        <w:t>mo los derechos a la educación, a la salud, a la habilitación y rehabilitación, trabajo y empleo, nivel de vida adecuado y protección social, participación en la vida cultural, las actividades recreativas,  el esparcimiento y el deporte.</w:t>
      </w:r>
    </w:p>
    <w:p w:rsidR="00000000" w:rsidRDefault="007B5A38">
      <w:pPr>
        <w:jc w:val="both"/>
        <w:rPr>
          <w:rFonts w:ascii="Times New Roman" w:hAnsi="Times New Roman"/>
          <w:sz w:val="24"/>
          <w:szCs w:val="24"/>
          <w:lang w:val="es-AR"/>
        </w:rPr>
      </w:pPr>
      <w:r>
        <w:rPr>
          <w:rFonts w:ascii="Times New Roman" w:hAnsi="Times New Roman"/>
          <w:sz w:val="24"/>
          <w:szCs w:val="24"/>
          <w:lang w:val="es-AR"/>
        </w:rPr>
        <w:t>Finalmente, es imp</w:t>
      </w:r>
      <w:r>
        <w:rPr>
          <w:rFonts w:ascii="Times New Roman" w:hAnsi="Times New Roman"/>
          <w:sz w:val="24"/>
          <w:szCs w:val="24"/>
          <w:lang w:val="es-AR"/>
        </w:rPr>
        <w:t>ortante destacar también la evolución de la codificación internacional en materia de derechos de los pueblos indígenas, que se ha decantado igualmente por un abordaje holístico, con consideración conjunta de derechos civiles, políticos, económicos, sociale</w:t>
      </w:r>
      <w:r>
        <w:rPr>
          <w:rFonts w:ascii="Times New Roman" w:hAnsi="Times New Roman"/>
          <w:sz w:val="24"/>
          <w:szCs w:val="24"/>
          <w:lang w:val="es-AR"/>
        </w:rPr>
        <w:t>s y culturales. La codificación en esta materia incluye un tratado internacional adoptado en el ámbito de la Organización Internacional del Trabajo – el Convenio 169 sobre pueblos indígenas y tribales en países independiente de la OIT, de 1989 – y una decl</w:t>
      </w:r>
      <w:r>
        <w:rPr>
          <w:rFonts w:ascii="Times New Roman" w:hAnsi="Times New Roman"/>
          <w:sz w:val="24"/>
          <w:szCs w:val="24"/>
          <w:lang w:val="es-AR"/>
        </w:rPr>
        <w:t>aración adoptada por la Asamblea General de Naciones Unidas – la Declaración de los Derechos de los Pueblos Indígenas, de  2007. En ambos instrumentos se destaca el reconocimiento de la titularidad colectiva de los derechos indígenas, en cabeza de los pueb</w:t>
      </w:r>
      <w:r>
        <w:rPr>
          <w:rFonts w:ascii="Times New Roman" w:hAnsi="Times New Roman"/>
          <w:sz w:val="24"/>
          <w:szCs w:val="24"/>
          <w:lang w:val="es-AR"/>
        </w:rPr>
        <w:t>los y comunidades indígenas, y la fuerte interdependencia e indivisibilidad de los derechos políticos, económicos, sociales y culturales, como condición para la supervivencia y el desarrollo de los pueblos indígenas. En particular, ambos instrumentos subra</w:t>
      </w:r>
      <w:r>
        <w:rPr>
          <w:rFonts w:ascii="Times New Roman" w:hAnsi="Times New Roman"/>
          <w:sz w:val="24"/>
          <w:szCs w:val="24"/>
          <w:lang w:val="es-AR"/>
        </w:rPr>
        <w:t>yan la fuerte vinculación de derechos de autodeterminación, autonomía, organización y participación política, consulta y consentimiento previo , con los derechos al desarrollo , al territorio y a los recursos naturales, al mantenimiento de sus propias inst</w:t>
      </w:r>
      <w:r>
        <w:rPr>
          <w:rFonts w:ascii="Times New Roman" w:hAnsi="Times New Roman"/>
          <w:sz w:val="24"/>
          <w:szCs w:val="24"/>
          <w:lang w:val="es-AR"/>
        </w:rPr>
        <w:t xml:space="preserve">ituciones – políticas, jurídicas, económicas, sociales y culturales –  y de sus actividades económicas , cultura y patrimonio cultural, a la educación, a </w:t>
      </w:r>
      <w:r>
        <w:rPr>
          <w:rFonts w:ascii="Times New Roman" w:hAnsi="Times New Roman"/>
          <w:sz w:val="24"/>
          <w:szCs w:val="24"/>
          <w:lang w:val="es-AR"/>
        </w:rPr>
        <w:lastRenderedPageBreak/>
        <w:t>la salud, al trabajo y seguridad social  y a un medio ambiente sano, entre otros, especificando igualm</w:t>
      </w:r>
      <w:r>
        <w:rPr>
          <w:rFonts w:ascii="Times New Roman" w:hAnsi="Times New Roman"/>
          <w:sz w:val="24"/>
          <w:szCs w:val="24"/>
          <w:lang w:val="es-AR"/>
        </w:rPr>
        <w:t>ente las obligaciones positivas de los Estados en estas materias .</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b/>
          <w:i/>
          <w:sz w:val="24"/>
          <w:szCs w:val="24"/>
          <w:lang w:val="es-ES_tradnl"/>
        </w:rPr>
      </w:pPr>
      <w:r>
        <w:rPr>
          <w:rFonts w:ascii="Times New Roman" w:hAnsi="Times New Roman"/>
          <w:b/>
          <w:i/>
          <w:sz w:val="24"/>
          <w:szCs w:val="24"/>
          <w:lang w:val="es-ES_tradnl"/>
        </w:rPr>
        <w:t>3.4) Los derechos sociales en instrumentos regionales de derechos humanos: África, América, Europa</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Amén de la codificación de los derechos económicos, sociales y culturales como derechos </w:t>
      </w:r>
      <w:r>
        <w:rPr>
          <w:rFonts w:ascii="Times New Roman" w:hAnsi="Times New Roman"/>
          <w:sz w:val="24"/>
          <w:szCs w:val="24"/>
          <w:lang w:val="es-AR"/>
        </w:rPr>
        <w:t>en el ámbito universal, estos derechos han sido también objeto de codificación e interpretación en instrumentos y mecanismos de ámbitos regionales de derechos humanos – que en algunos casos han prefigurado avances posteriores concretados en el ámbito unive</w:t>
      </w:r>
      <w:r>
        <w:rPr>
          <w:rFonts w:ascii="Times New Roman" w:hAnsi="Times New Roman"/>
          <w:sz w:val="24"/>
          <w:szCs w:val="24"/>
          <w:lang w:val="es-AR"/>
        </w:rPr>
        <w:t>rsal. Lo que sigue es una breve síntesis de los principales desarrollos en la materia.</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3.4.1) Sistema africano de derechos humanos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El principal instrumento del Sistema Africano de Derechos Humanos, la Carta Africana de Derechos Humanos y de los Pueblos, </w:t>
      </w:r>
      <w:r>
        <w:rPr>
          <w:rFonts w:ascii="Times New Roman" w:hAnsi="Times New Roman"/>
          <w:sz w:val="24"/>
          <w:szCs w:val="24"/>
          <w:lang w:val="es-AR"/>
        </w:rPr>
        <w:t>de 1981, sigue la tónica de la Declaración Universal de Derechos Humanos y no efectúa distinciones entre derechos civiles y políticos y derechos económicos, sociales y culturales. Entre los derechos económicos, sociales y culturales consagrados, la Carta i</w:t>
      </w:r>
      <w:r>
        <w:rPr>
          <w:rFonts w:ascii="Times New Roman" w:hAnsi="Times New Roman"/>
          <w:sz w:val="24"/>
          <w:szCs w:val="24"/>
          <w:lang w:val="es-AR"/>
        </w:rPr>
        <w:t>ncluye derechos laborales individuales, el derecho a la salud, el derecho a la educación, el derecho a participar de la vida cultural, el derecho a la protección de la familia, de la mujer, de los niños, de las personas de edad y de las personas con discap</w:t>
      </w:r>
      <w:r>
        <w:rPr>
          <w:rFonts w:ascii="Times New Roman" w:hAnsi="Times New Roman"/>
          <w:sz w:val="24"/>
          <w:szCs w:val="24"/>
          <w:lang w:val="es-AR"/>
        </w:rPr>
        <w:t>acidad, y el derecho de los pueblos al desarrollo.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Comisión Africana de Derechos Humanos y de los Pueblos, órgano de supervisión de la Carta Africana, ha desarrollado una jurisprudencia interesante en materia de derechos económicos, sociales y culturale</w:t>
      </w:r>
      <w:r>
        <w:rPr>
          <w:rFonts w:ascii="Times New Roman" w:hAnsi="Times New Roman"/>
          <w:sz w:val="24"/>
          <w:szCs w:val="24"/>
          <w:lang w:val="es-AR"/>
        </w:rPr>
        <w:t xml:space="preserve">s, y ha producido recientemente una guía interpretativa sobre el contenido de los derechos económicos, sociales y culturales consagrados en la Carta, que sigue en gran medida la doctrina del Comité de Derechos Económicos, Sociales y Culturales de Naciones </w:t>
      </w:r>
      <w:r>
        <w:rPr>
          <w:rFonts w:ascii="Times New Roman" w:hAnsi="Times New Roman"/>
          <w:sz w:val="24"/>
          <w:szCs w:val="24"/>
          <w:lang w:val="es-AR"/>
        </w:rPr>
        <w:t xml:space="preserve">Unidas.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Otros instrumentos del sistema regional africano que establecen derechos económicos, sociales y culturales son la Carta Africana sobre los Derechos y el Bienestar del Niño (1990) y el Protocolo a la Carta Africana de Derechos Humanos y los Pueblos</w:t>
      </w:r>
      <w:r>
        <w:rPr>
          <w:rFonts w:ascii="Times New Roman" w:hAnsi="Times New Roman"/>
          <w:sz w:val="24"/>
          <w:szCs w:val="24"/>
          <w:lang w:val="es-AR"/>
        </w:rPr>
        <w:t xml:space="preserve"> sobre los Derechos de la Mujer en África (2003).</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3.4.2) Sistema interamericano de derechos humanos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lastRenderedPageBreak/>
        <w:t xml:space="preserve">Diversos instrumentos del sistema interamericano de derechos humanos reconocen derechos económicos, sociales y culturales y establecen algunos mecanismos </w:t>
      </w:r>
      <w:r>
        <w:rPr>
          <w:rFonts w:ascii="Times New Roman" w:hAnsi="Times New Roman"/>
          <w:sz w:val="24"/>
          <w:szCs w:val="24"/>
          <w:lang w:val="es-AR"/>
        </w:rPr>
        <w:t>de supervisión</w:t>
      </w:r>
      <w:r>
        <w:rPr>
          <w:rStyle w:val="Refdenotaalpie"/>
          <w:rFonts w:ascii="Times New Roman" w:hAnsi="Times New Roman"/>
          <w:sz w:val="24"/>
          <w:szCs w:val="24"/>
          <w:lang w:val="es-AR"/>
        </w:rPr>
        <w:footnoteReference w:id="57"/>
      </w:r>
      <w:r>
        <w:rPr>
          <w:rFonts w:ascii="Times New Roman" w:hAnsi="Times New Roman"/>
          <w:sz w:val="24"/>
          <w:szCs w:val="24"/>
          <w:lang w:val="es-AR"/>
        </w:rPr>
        <w:t>.</w:t>
      </w:r>
    </w:p>
    <w:p w:rsidR="00000000" w:rsidRDefault="007B5A38">
      <w:pPr>
        <w:jc w:val="both"/>
        <w:rPr>
          <w:rFonts w:ascii="Times New Roman" w:hAnsi="Times New Roman"/>
          <w:sz w:val="24"/>
          <w:szCs w:val="24"/>
          <w:lang w:val="es-AR"/>
        </w:rPr>
      </w:pPr>
      <w:r>
        <w:rPr>
          <w:rFonts w:ascii="Times New Roman" w:hAnsi="Times New Roman"/>
          <w:sz w:val="24"/>
          <w:szCs w:val="24"/>
          <w:lang w:val="es-AR"/>
        </w:rPr>
        <w:t>Como ya hemos mencionado, la pionera Declaración Americana de Derechos y Deberes del Hombre, de 1948, incluye tanto derechos civiles y políticos como derechos económicos, sociales y culturales – como los derechos a la protección de la mate</w:t>
      </w:r>
      <w:r>
        <w:rPr>
          <w:rFonts w:ascii="Times New Roman" w:hAnsi="Times New Roman"/>
          <w:sz w:val="24"/>
          <w:szCs w:val="24"/>
          <w:lang w:val="es-AR"/>
        </w:rPr>
        <w:t>rnidad y de la infancia, a la salud y al bienestar, a la educación, a los beneficios de la cultura, al trabajo y a una justa retribución y al descanso y a su aprovechamiento.</w:t>
      </w:r>
    </w:p>
    <w:p w:rsidR="00000000" w:rsidRDefault="007B5A38">
      <w:pPr>
        <w:jc w:val="both"/>
        <w:rPr>
          <w:rFonts w:ascii="Times New Roman" w:hAnsi="Times New Roman"/>
          <w:sz w:val="24"/>
          <w:szCs w:val="24"/>
          <w:lang w:val="es-AR"/>
        </w:rPr>
      </w:pPr>
      <w:r>
        <w:rPr>
          <w:rFonts w:ascii="Times New Roman" w:hAnsi="Times New Roman"/>
          <w:sz w:val="24"/>
          <w:szCs w:val="24"/>
          <w:lang w:val="es-AR"/>
        </w:rPr>
        <w:t>Pese a ese antecedente, el instrumento de mayor peso del sistema interamericano d</w:t>
      </w:r>
      <w:r>
        <w:rPr>
          <w:rFonts w:ascii="Times New Roman" w:hAnsi="Times New Roman"/>
          <w:sz w:val="24"/>
          <w:szCs w:val="24"/>
          <w:lang w:val="es-AR"/>
        </w:rPr>
        <w:t>e derechos humanos, la Convención Americana de Derechos Humanos (también llamada Pacto de San José de Costa Rica), adoptado en 1969, siguió en gran medida la experiencia europea y universal de codificación diferenciada, y consagró principalmente derechos c</w:t>
      </w:r>
      <w:r>
        <w:rPr>
          <w:rFonts w:ascii="Times New Roman" w:hAnsi="Times New Roman"/>
          <w:sz w:val="24"/>
          <w:szCs w:val="24"/>
          <w:lang w:val="es-AR"/>
        </w:rPr>
        <w:t>iviles y políticos, utilizando como fuente principal el Convenio Europeo de Derechos Humanos y Libertades Fundamentales y el Pacto Internacional de Derechos Civiles y Políticos. Sin embargo, la Convención dedica un solitario artículo a los “derechos económ</w:t>
      </w:r>
      <w:r>
        <w:rPr>
          <w:rFonts w:ascii="Times New Roman" w:hAnsi="Times New Roman"/>
          <w:sz w:val="24"/>
          <w:szCs w:val="24"/>
          <w:lang w:val="es-AR"/>
        </w:rPr>
        <w:t>icos, sociales y culturales” que define por remisión a la Carta de la Organización de Estados Americanos , e incluye en la lista de derechos civiles y políticos algunos derechos que podrían catalogarse como sociales, como la protección de la familia y a la</w:t>
      </w:r>
      <w:r>
        <w:rPr>
          <w:rFonts w:ascii="Times New Roman" w:hAnsi="Times New Roman"/>
          <w:sz w:val="24"/>
          <w:szCs w:val="24"/>
          <w:lang w:val="es-AR"/>
        </w:rPr>
        <w:t xml:space="preserve"> protección de la niñez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1989, la OEA adoptó un Protocolo Adicional a la Convención Americana sobre Derechos Humanos en materia de Derechos Económicos, Sociales y Culturales (llamado también Protocolo de San Salvador). La fuente principal del Protocolo</w:t>
      </w:r>
      <w:r>
        <w:rPr>
          <w:rFonts w:ascii="Times New Roman" w:hAnsi="Times New Roman"/>
          <w:sz w:val="24"/>
          <w:szCs w:val="24"/>
          <w:lang w:val="es-AR"/>
        </w:rPr>
        <w:t xml:space="preserve"> de San Salvador es el Pacto Internacional de Derechos Económicos, Sociales y Culturales, cuyo texto reproduce en gran medida, con el agregado de algunos derechos y obligaciones adicionales – entre ellos, el derecho a un medio ambiente sano y a contar con </w:t>
      </w:r>
      <w:r>
        <w:rPr>
          <w:rFonts w:ascii="Times New Roman" w:hAnsi="Times New Roman"/>
          <w:sz w:val="24"/>
          <w:szCs w:val="24"/>
          <w:lang w:val="es-AR"/>
        </w:rPr>
        <w:t xml:space="preserve">servicios básicos, y disposiciones dedicadas a la protección de la niñez , de los adultos mayores  y de las personas con discapacidad. </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Otros instrumentos del sistema interamericano de derechos humanos que incluyen derechos sociales son la Convención para </w:t>
      </w:r>
      <w:r>
        <w:rPr>
          <w:rFonts w:ascii="Times New Roman" w:hAnsi="Times New Roman"/>
          <w:sz w:val="24"/>
          <w:szCs w:val="24"/>
          <w:lang w:val="es-AR"/>
        </w:rPr>
        <w:t>Prevenir, Sancionar y Erradicar la Violencia contra la Mujer (Convención de Belem do Pará, de 1994) y la Convención Interamericana para la Eliminación de Todas las Formas de Discriminación contra las Personas con Discapacidad (1999).</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términos de aplicac</w:t>
      </w:r>
      <w:r>
        <w:rPr>
          <w:rFonts w:ascii="Times New Roman" w:hAnsi="Times New Roman"/>
          <w:sz w:val="24"/>
          <w:szCs w:val="24"/>
          <w:lang w:val="es-AR"/>
        </w:rPr>
        <w:t>ión, aunque el Protocolo de San Salvador permite la presentación de peticiones ante la Comisión Interamericana de Derechos Humanos – y eventualmente ante la Corte –por alegadas violaciones a la libertad sindical y al derecho a la educación, hasta el moment</w:t>
      </w:r>
      <w:r>
        <w:rPr>
          <w:rFonts w:ascii="Times New Roman" w:hAnsi="Times New Roman"/>
          <w:sz w:val="24"/>
          <w:szCs w:val="24"/>
          <w:lang w:val="es-AR"/>
        </w:rPr>
        <w:t>o los órganos del sistema no han decidido casos al respecto, y la experiencia de justiciabilidad directa del artículo 26 de la Convención Americana ha sida también escasa. Existe, sin embargo, una creciente jurisprudencia de los órganos del sistema interam</w:t>
      </w:r>
      <w:r>
        <w:rPr>
          <w:rFonts w:ascii="Times New Roman" w:hAnsi="Times New Roman"/>
          <w:sz w:val="24"/>
          <w:szCs w:val="24"/>
          <w:lang w:val="es-AR"/>
        </w:rPr>
        <w:t xml:space="preserve">ericano en la que aspectos vinculados con los derechos económicos, sociales y culturales se han abordado </w:t>
      </w:r>
      <w:r>
        <w:rPr>
          <w:rFonts w:ascii="Times New Roman" w:hAnsi="Times New Roman"/>
          <w:sz w:val="24"/>
          <w:szCs w:val="24"/>
          <w:lang w:val="es-AR"/>
        </w:rPr>
        <w:lastRenderedPageBreak/>
        <w:t>por su conexidad con derechos civiles y políticos consagrados en la Convención Americana , o por vía de reparaciones exigidas por la Corte Interamerica</w:t>
      </w:r>
      <w:r>
        <w:rPr>
          <w:rFonts w:ascii="Times New Roman" w:hAnsi="Times New Roman"/>
          <w:sz w:val="24"/>
          <w:szCs w:val="24"/>
          <w:lang w:val="es-AR"/>
        </w:rPr>
        <w:t>na a través de sus sentencias . La Comisión Interamericana también ha abordado estos derechos en informes dedicados a países miembros, y en audiencias de interés general.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En los últimos años, se ha activado el desarrollo de indicadores de progreso para la </w:t>
      </w:r>
      <w:r>
        <w:rPr>
          <w:rFonts w:ascii="Times New Roman" w:hAnsi="Times New Roman"/>
          <w:sz w:val="24"/>
          <w:szCs w:val="24"/>
          <w:lang w:val="es-AR"/>
        </w:rPr>
        <w:t xml:space="preserve">evaluación de los informes periódicos que, de acuerdo al Protocolo de San Salvador, los Estados deben presentar para dar cuenta del cumplimiento de sus obligaciones. </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i/>
          <w:sz w:val="24"/>
          <w:szCs w:val="24"/>
          <w:lang w:val="es-AR"/>
        </w:rPr>
      </w:pPr>
      <w:r>
        <w:rPr>
          <w:rFonts w:ascii="Times New Roman" w:hAnsi="Times New Roman"/>
          <w:i/>
          <w:sz w:val="24"/>
          <w:szCs w:val="24"/>
          <w:lang w:val="es-AR"/>
        </w:rPr>
        <w:t>3.4.3) Sistema europeo de derechos humanos</w:t>
      </w:r>
    </w:p>
    <w:p w:rsidR="00000000" w:rsidRDefault="007B5A38">
      <w:pPr>
        <w:jc w:val="both"/>
        <w:rPr>
          <w:rFonts w:ascii="Times New Roman" w:hAnsi="Times New Roman"/>
          <w:sz w:val="24"/>
          <w:szCs w:val="24"/>
          <w:lang w:val="es-AR"/>
        </w:rPr>
      </w:pPr>
    </w:p>
    <w:p w:rsidR="00000000" w:rsidRDefault="007B5A38">
      <w:pPr>
        <w:jc w:val="both"/>
        <w:rPr>
          <w:rFonts w:ascii="Times New Roman" w:hAnsi="Times New Roman"/>
          <w:sz w:val="24"/>
          <w:szCs w:val="24"/>
          <w:lang w:val="es-AR"/>
        </w:rPr>
      </w:pPr>
      <w:r>
        <w:rPr>
          <w:rFonts w:ascii="Times New Roman" w:hAnsi="Times New Roman"/>
          <w:sz w:val="24"/>
          <w:szCs w:val="24"/>
          <w:lang w:val="es-AR"/>
        </w:rPr>
        <w:t>Como se ha dicho, el sistema europeo de dere</w:t>
      </w:r>
      <w:r>
        <w:rPr>
          <w:rFonts w:ascii="Times New Roman" w:hAnsi="Times New Roman"/>
          <w:sz w:val="24"/>
          <w:szCs w:val="24"/>
          <w:lang w:val="es-AR"/>
        </w:rPr>
        <w:t>chos humanos ha optado también por la adopción de dos instrumentos separados, dedicados respectivamente a los derechos civiles y políticos, y a los derechos económicos, sociales y culturales, con órganos y mecanismos de supervisión también diferenciados. E</w:t>
      </w:r>
      <w:r>
        <w:rPr>
          <w:rFonts w:ascii="Times New Roman" w:hAnsi="Times New Roman"/>
          <w:sz w:val="24"/>
          <w:szCs w:val="24"/>
          <w:lang w:val="es-AR"/>
        </w:rPr>
        <w:t>l Convenio Europeo de Derechos Humanos y Libertades Fundamentales (1950) consagra principalmente derechos civiles y políticos, mientras que la Carta Europea de Derechos Sociales (1961) consagra derechos económicos y sociales</w:t>
      </w:r>
      <w:r>
        <w:rPr>
          <w:rStyle w:val="Refdenotaalpie"/>
          <w:rFonts w:ascii="Times New Roman" w:hAnsi="Times New Roman"/>
          <w:sz w:val="24"/>
          <w:szCs w:val="24"/>
          <w:lang w:val="es-AR"/>
        </w:rPr>
        <w:footnoteReference w:id="58"/>
      </w:r>
      <w:r>
        <w:rPr>
          <w:rFonts w:ascii="Times New Roman" w:hAnsi="Times New Roman"/>
          <w:sz w:val="24"/>
          <w:szCs w:val="24"/>
          <w:lang w:val="es-AR"/>
        </w:rPr>
        <w:t>. El Convenio Europeo instituye</w:t>
      </w:r>
      <w:r>
        <w:rPr>
          <w:rFonts w:ascii="Times New Roman" w:hAnsi="Times New Roman"/>
          <w:sz w:val="24"/>
          <w:szCs w:val="24"/>
          <w:lang w:val="es-AR"/>
        </w:rPr>
        <w:t xml:space="preserve"> un sistema que habilita la presentación de peticiones o quejas en caso de alegada violación de los derechos consagrados en ese tratado, originariamente ante dos instancias – la Comisión y la Corte Europeas – aunque posteriormente la Comisión fue eliminada</w:t>
      </w:r>
      <w:r>
        <w:rPr>
          <w:rFonts w:ascii="Times New Roman" w:hAnsi="Times New Roman"/>
          <w:sz w:val="24"/>
          <w:szCs w:val="24"/>
          <w:lang w:val="es-AR"/>
        </w:rPr>
        <w:t>. En contraste, la versión original de la Carta Social Europea no contaba con un mecanismo de quejas, y establecía un mecanismo de presentación de informes periódicos como sistema de supervisión del cumplimiento de las obligaciones asumidas por los Estados</w:t>
      </w:r>
      <w:r>
        <w:rPr>
          <w:rFonts w:ascii="Times New Roman" w:hAnsi="Times New Roman"/>
          <w:sz w:val="24"/>
          <w:szCs w:val="24"/>
          <w:lang w:val="es-AR"/>
        </w:rPr>
        <w:t xml:space="preserve"> partes.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La versión original de la Carta Social Europea, de 1961, consagraba principalmente derechos en el ámbito laboral y de la seguridad social. En 1996 la Carta Social Europea fue revisada: la versión actual incluye, además de un elenco detallado de de</w:t>
      </w:r>
      <w:r>
        <w:rPr>
          <w:rFonts w:ascii="Times New Roman" w:hAnsi="Times New Roman"/>
          <w:sz w:val="24"/>
          <w:szCs w:val="24"/>
          <w:lang w:val="es-AR"/>
        </w:rPr>
        <w:t xml:space="preserve">rechos laborales individuales y colectivos, el derecho de los niños y adolescentes a la protección, el derecho de las trabajadoras a la protección de la maternidad,  el derecho a la protección de la salud, el derecho a la seguridad social, el derecho a la </w:t>
      </w:r>
      <w:r>
        <w:rPr>
          <w:rFonts w:ascii="Times New Roman" w:hAnsi="Times New Roman"/>
          <w:sz w:val="24"/>
          <w:szCs w:val="24"/>
          <w:lang w:val="es-AR"/>
        </w:rPr>
        <w:t xml:space="preserve">asistencia social, médica y a beneficiarse de servicios sociales, derechos de las personas con discapacidad, el derecho a la protección familiar, derechos de los trabajadores migrantes, derechos de las personas de edad a la protección social, el derecho a </w:t>
      </w:r>
      <w:r>
        <w:rPr>
          <w:rFonts w:ascii="Times New Roman" w:hAnsi="Times New Roman"/>
          <w:sz w:val="24"/>
          <w:szCs w:val="24"/>
          <w:lang w:val="es-AR"/>
        </w:rPr>
        <w:t>la protección contra la pobreza y la exclusión social y el derecho a la vivienda.</w:t>
      </w:r>
    </w:p>
    <w:p w:rsidR="00000000" w:rsidRDefault="007B5A38">
      <w:pPr>
        <w:jc w:val="both"/>
        <w:rPr>
          <w:rFonts w:ascii="Times New Roman" w:hAnsi="Times New Roman"/>
          <w:sz w:val="24"/>
          <w:szCs w:val="24"/>
          <w:lang w:val="es-AR"/>
        </w:rPr>
      </w:pPr>
      <w:r>
        <w:rPr>
          <w:rFonts w:ascii="Times New Roman" w:hAnsi="Times New Roman"/>
          <w:sz w:val="24"/>
          <w:szCs w:val="24"/>
          <w:lang w:val="es-AR"/>
        </w:rPr>
        <w:t>En 1995 el Consejo de Europa adoptó un Protocolo Adicional a la Carta Social Europea que permite a su órgano de supervisión, el Comité Europeo de Derechos Sociales, recibir r</w:t>
      </w:r>
      <w:r>
        <w:rPr>
          <w:rFonts w:ascii="Times New Roman" w:hAnsi="Times New Roman"/>
          <w:sz w:val="24"/>
          <w:szCs w:val="24"/>
          <w:lang w:val="es-AR"/>
        </w:rPr>
        <w:t xml:space="preserve">eclamaciones de carácter colectivo por alegadas violaciones a los derechos establecidos en la </w:t>
      </w:r>
      <w:r>
        <w:rPr>
          <w:rFonts w:ascii="Times New Roman" w:hAnsi="Times New Roman"/>
          <w:sz w:val="24"/>
          <w:szCs w:val="24"/>
          <w:lang w:val="es-AR"/>
        </w:rPr>
        <w:lastRenderedPageBreak/>
        <w:t>Carta. Están habilitados para presentar reclamaciones las organizaciones sindicales y patronales, y organizaciones no gubernamentales acreditadas al efecto ante e</w:t>
      </w:r>
      <w:r>
        <w:rPr>
          <w:rFonts w:ascii="Times New Roman" w:hAnsi="Times New Roman"/>
          <w:sz w:val="24"/>
          <w:szCs w:val="24"/>
          <w:lang w:val="es-AR"/>
        </w:rPr>
        <w:t>l Consejo de Europa, autorizándose además a los Estados partes a hacer una declaración reconociendo la legitimación para presentar reclamaciones a las ONGs nacionales. El Comité Europeo de Derechos Sociales, que tiene además competencia para revisar los in</w:t>
      </w:r>
      <w:r>
        <w:rPr>
          <w:rFonts w:ascii="Times New Roman" w:hAnsi="Times New Roman"/>
          <w:sz w:val="24"/>
          <w:szCs w:val="24"/>
          <w:lang w:val="es-AR"/>
        </w:rPr>
        <w:t>formes periódicos presentados por los Estados miembros, ha desarrollado en los últimos años una interesante jurisprudencia en la materia, que incluye casos sobre trabajo infantil, desalojos forzosos, derecho a la vivienda, derechos sociales de los migrante</w:t>
      </w:r>
      <w:r>
        <w:rPr>
          <w:rFonts w:ascii="Times New Roman" w:hAnsi="Times New Roman"/>
          <w:sz w:val="24"/>
          <w:szCs w:val="24"/>
          <w:lang w:val="es-AR"/>
        </w:rPr>
        <w:t>s, derecho a la educación de personas con discapacidad y derechos sindicales, entre otros.</w:t>
      </w:r>
    </w:p>
    <w:p w:rsidR="00000000" w:rsidRDefault="007B5A38">
      <w:pPr>
        <w:jc w:val="both"/>
        <w:rPr>
          <w:rFonts w:ascii="Times New Roman" w:hAnsi="Times New Roman"/>
          <w:sz w:val="24"/>
          <w:szCs w:val="24"/>
          <w:lang w:val="es-AR"/>
        </w:rPr>
      </w:pPr>
      <w:r>
        <w:rPr>
          <w:rFonts w:ascii="Times New Roman" w:hAnsi="Times New Roman"/>
          <w:sz w:val="24"/>
          <w:szCs w:val="24"/>
          <w:lang w:val="es-AR"/>
        </w:rPr>
        <w:t xml:space="preserve">Por su parte, también la Corte Europea de Derechos Humanos ha avanzado en alguna medida en la protección de derechos sociales, en el marco de posibilidades ofrecido </w:t>
      </w:r>
      <w:r>
        <w:rPr>
          <w:rFonts w:ascii="Times New Roman" w:hAnsi="Times New Roman"/>
          <w:sz w:val="24"/>
          <w:szCs w:val="24"/>
          <w:lang w:val="es-AR"/>
        </w:rPr>
        <w:t>por el Convenio Europeo de Derechos Humanos y de Libertades Fundamentales y sus protocolos facultativos. La Corte Europea ha protegido derechos sociales por conexión con el derecho de acceso a la justicia, el derecho a la vida privada y familiar, el derech</w:t>
      </w:r>
      <w:r>
        <w:rPr>
          <w:rFonts w:ascii="Times New Roman" w:hAnsi="Times New Roman"/>
          <w:sz w:val="24"/>
          <w:szCs w:val="24"/>
          <w:lang w:val="es-AR"/>
        </w:rPr>
        <w:t>o a la vida, el derecho a no ser sometido a tratos crueles, inhumanos o degradantes, el derecho a la propiedad reconocido en el Protocolo I y a través de la aplicación de la prohibición de discriminación a algunos de esos derechos. Por esa vía, la Corte Eu</w:t>
      </w:r>
      <w:r>
        <w:rPr>
          <w:rFonts w:ascii="Times New Roman" w:hAnsi="Times New Roman"/>
          <w:sz w:val="24"/>
          <w:szCs w:val="24"/>
          <w:lang w:val="es-AR"/>
        </w:rPr>
        <w:t>ropea ha protegido derechos vinculados con beneficios de la seguridad y asistencia social, el derecho a la vivienda, el derecho a la salud, y el derecho a un medio ambiente sano, entre otros.  Asimismo, el Protocolo I consagra también el derecho a la educa</w:t>
      </w:r>
      <w:r>
        <w:rPr>
          <w:rFonts w:ascii="Times New Roman" w:hAnsi="Times New Roman"/>
          <w:sz w:val="24"/>
          <w:szCs w:val="24"/>
          <w:lang w:val="es-AR"/>
        </w:rPr>
        <w:t>ción, y la Corte ha desarrollado también alguna jurisprudencia al respecto. La Corte ha avanzado también –  aunque en menor medida – en la protección de algunos derechos con dimensiones sociales contenidos en el texto del Convenio Europeo como la protecció</w:t>
      </w:r>
      <w:r>
        <w:rPr>
          <w:rFonts w:ascii="Times New Roman" w:hAnsi="Times New Roman"/>
          <w:sz w:val="24"/>
          <w:szCs w:val="24"/>
          <w:lang w:val="es-AR"/>
        </w:rPr>
        <w:t>n contra el trabajo forzoso y el trabajo infantil y de la libertad sindical.</w:t>
      </w:r>
    </w:p>
    <w:p w:rsidR="00000000" w:rsidRDefault="007B5A38">
      <w:pPr>
        <w:jc w:val="both"/>
        <w:rPr>
          <w:rFonts w:ascii="Times New Roman" w:hAnsi="Times New Roman"/>
          <w:sz w:val="24"/>
          <w:szCs w:val="24"/>
          <w:lang w:val="es-AR"/>
        </w:rPr>
      </w:pPr>
      <w:r>
        <w:rPr>
          <w:rFonts w:ascii="Times New Roman" w:hAnsi="Times New Roman"/>
          <w:sz w:val="24"/>
          <w:szCs w:val="24"/>
          <w:lang w:val="es-AR"/>
        </w:rPr>
        <w:t>Por último, en el ámbito de la Unión Europea, la Carta de Derechos Fundamentales de la Unión Europea, adoptada en 2000 y considerada vinculante desde la entrada en vigor del Trata</w:t>
      </w:r>
      <w:r>
        <w:rPr>
          <w:rFonts w:ascii="Times New Roman" w:hAnsi="Times New Roman"/>
          <w:sz w:val="24"/>
          <w:szCs w:val="24"/>
          <w:lang w:val="es-AR"/>
        </w:rPr>
        <w:t xml:space="preserve">do de Lisboa en diciembre de 2009, incluye tanto derechos civiles y políticos como derechos económicos y sociales – entre ellos, la prohibición de trabajos forzosos, la libertad sindical, el derecho a la educación, el derecho a trabajar, el derecho de los </w:t>
      </w:r>
      <w:r>
        <w:rPr>
          <w:rFonts w:ascii="Times New Roman" w:hAnsi="Times New Roman"/>
          <w:sz w:val="24"/>
          <w:szCs w:val="24"/>
          <w:lang w:val="es-AR"/>
        </w:rPr>
        <w:t>niños a la protección, el derecho de los adultos mayores a una vida independiente y a participar en la vida social y cultural, el derecho de las personas con discapacidad a la autonomía, integración social y profesional y participación en la vida de la com</w:t>
      </w:r>
      <w:r>
        <w:rPr>
          <w:rFonts w:ascii="Times New Roman" w:hAnsi="Times New Roman"/>
          <w:sz w:val="24"/>
          <w:szCs w:val="24"/>
          <w:lang w:val="es-AR"/>
        </w:rPr>
        <w:t xml:space="preserve">unidad, derechos laborales individuales y colectivos, la prohibición del trabajo infantil, el derecho a la protección de la familia, el derecho a la seguridad y asistencia social, el derecho a la protección de la salud, el derecho a acceder a servicios de </w:t>
      </w:r>
      <w:r>
        <w:rPr>
          <w:rFonts w:ascii="Times New Roman" w:hAnsi="Times New Roman"/>
          <w:sz w:val="24"/>
          <w:szCs w:val="24"/>
          <w:lang w:val="es-AR"/>
        </w:rPr>
        <w:t>interés económico general, la protección del medio ambiente y de los consumidores.</w:t>
      </w:r>
    </w:p>
    <w:p w:rsidR="00000000" w:rsidRDefault="007B5A38">
      <w:pPr>
        <w:jc w:val="both"/>
        <w:rPr>
          <w:rFonts w:ascii="Times New Roman" w:hAnsi="Times New Roman"/>
          <w:sz w:val="24"/>
          <w:szCs w:val="24"/>
          <w:lang w:val="es-AR"/>
        </w:rPr>
      </w:pPr>
    </w:p>
    <w:p w:rsidR="00000000" w:rsidRDefault="007B5A38">
      <w:pPr>
        <w:numPr>
          <w:ilvl w:val="0"/>
          <w:numId w:val="5"/>
        </w:numPr>
        <w:jc w:val="both"/>
        <w:rPr>
          <w:rFonts w:ascii="Times New Roman" w:hAnsi="Times New Roman"/>
          <w:b/>
          <w:sz w:val="24"/>
          <w:szCs w:val="24"/>
          <w:lang w:val="es-AR"/>
        </w:rPr>
      </w:pPr>
      <w:r>
        <w:rPr>
          <w:rFonts w:ascii="Times New Roman" w:hAnsi="Times New Roman"/>
          <w:b/>
          <w:sz w:val="24"/>
          <w:szCs w:val="24"/>
          <w:lang w:val="es-AR"/>
        </w:rPr>
        <w:t>Bibliografía</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ABRAMOVICH, V. y COURTIS, C., </w:t>
      </w:r>
      <w:r>
        <w:rPr>
          <w:rFonts w:ascii="Times New Roman" w:hAnsi="Times New Roman"/>
          <w:i/>
          <w:sz w:val="20"/>
          <w:szCs w:val="20"/>
          <w:lang w:val="es-AR"/>
        </w:rPr>
        <w:t>Los derechos sociales como derechos exigibles</w:t>
      </w:r>
      <w:r>
        <w:rPr>
          <w:rFonts w:ascii="Times New Roman" w:hAnsi="Times New Roman"/>
          <w:sz w:val="20"/>
          <w:szCs w:val="20"/>
          <w:lang w:val="es-AR"/>
        </w:rPr>
        <w:t>, Trotta, Madrid, 2002</w:t>
      </w:r>
    </w:p>
    <w:p w:rsidR="00000000" w:rsidRDefault="007B5A38">
      <w:pPr>
        <w:rPr>
          <w:rFonts w:ascii="Times New Roman" w:hAnsi="Times New Roman"/>
          <w:sz w:val="20"/>
          <w:szCs w:val="20"/>
          <w:lang w:val="es-ES"/>
        </w:rPr>
      </w:pPr>
      <w:r>
        <w:rPr>
          <w:rFonts w:ascii="Times New Roman" w:hAnsi="Times New Roman"/>
          <w:sz w:val="20"/>
          <w:szCs w:val="20"/>
          <w:lang w:val="es-ES"/>
        </w:rPr>
        <w:t xml:space="preserve">ALEXY, R., </w:t>
      </w:r>
      <w:r>
        <w:rPr>
          <w:rFonts w:ascii="Times New Roman" w:hAnsi="Times New Roman"/>
          <w:i/>
          <w:sz w:val="20"/>
          <w:szCs w:val="20"/>
          <w:lang w:val="es-ES"/>
        </w:rPr>
        <w:t>Teoría de los derechos fundamentales</w:t>
      </w:r>
      <w:r>
        <w:rPr>
          <w:rFonts w:ascii="Times New Roman" w:hAnsi="Times New Roman"/>
          <w:sz w:val="20"/>
          <w:szCs w:val="20"/>
          <w:lang w:val="es-ES"/>
        </w:rPr>
        <w:t>, trad. E. Gar</w:t>
      </w:r>
      <w:r>
        <w:rPr>
          <w:rFonts w:ascii="Times New Roman" w:hAnsi="Times New Roman"/>
          <w:sz w:val="20"/>
          <w:szCs w:val="20"/>
          <w:lang w:val="es-ES"/>
        </w:rPr>
        <w:t>zón Valdés, Centro de Estudios Constitucionales, Madrid, 1993</w:t>
      </w:r>
    </w:p>
    <w:p w:rsidR="00000000" w:rsidRDefault="007B5A38">
      <w:pPr>
        <w:rPr>
          <w:rFonts w:ascii="Times New Roman" w:hAnsi="Times New Roman"/>
          <w:sz w:val="20"/>
          <w:szCs w:val="20"/>
          <w:lang w:val="es-AR"/>
        </w:rPr>
      </w:pPr>
      <w:r>
        <w:rPr>
          <w:rFonts w:ascii="Times New Roman" w:hAnsi="Times New Roman"/>
          <w:sz w:val="20"/>
          <w:szCs w:val="20"/>
          <w:lang w:val="es-ES"/>
        </w:rPr>
        <w:lastRenderedPageBreak/>
        <w:t xml:space="preserve">ANGIOLINI, V., “Sulle premesse culturali dell’inserimento dei “diritti sociali” nella </w:t>
      </w:r>
      <w:r>
        <w:rPr>
          <w:rFonts w:ascii="Times New Roman" w:hAnsi="Times New Roman"/>
          <w:sz w:val="20"/>
          <w:szCs w:val="20"/>
          <w:lang w:val="es-AR"/>
        </w:rPr>
        <w:t>Costituzione”, en RUOTOLO, M. (comp</w:t>
      </w:r>
      <w:r>
        <w:rPr>
          <w:rFonts w:ascii="Times New Roman" w:hAnsi="Times New Roman"/>
          <w:i/>
          <w:sz w:val="20"/>
          <w:szCs w:val="20"/>
          <w:lang w:val="es-AR"/>
        </w:rPr>
        <w:t xml:space="preserve">.), La Costituzione ha sessant’anni. </w:t>
      </w:r>
      <w:r>
        <w:rPr>
          <w:rFonts w:ascii="Times New Roman" w:hAnsi="Times New Roman"/>
          <w:i/>
          <w:sz w:val="20"/>
          <w:szCs w:val="20"/>
          <w:lang w:val="es-ES"/>
        </w:rPr>
        <w:t>La qualità della vita sessant’anni d</w:t>
      </w:r>
      <w:r>
        <w:rPr>
          <w:rFonts w:ascii="Times New Roman" w:hAnsi="Times New Roman"/>
          <w:i/>
          <w:sz w:val="20"/>
          <w:szCs w:val="20"/>
          <w:lang w:val="es-ES"/>
        </w:rPr>
        <w:t>opo</w:t>
      </w:r>
      <w:r>
        <w:rPr>
          <w:rFonts w:ascii="Times New Roman" w:hAnsi="Times New Roman"/>
          <w:sz w:val="20"/>
          <w:szCs w:val="20"/>
          <w:lang w:val="es-ES"/>
        </w:rPr>
        <w:t>, Scientifica, Nápoles, 2008, pp. 205 y ss.</w:t>
      </w:r>
    </w:p>
    <w:p w:rsidR="00000000" w:rsidRDefault="007B5A38">
      <w:pPr>
        <w:rPr>
          <w:rFonts w:ascii="Times New Roman" w:hAnsi="Times New Roman"/>
          <w:sz w:val="20"/>
          <w:szCs w:val="20"/>
          <w:lang w:val="es-AR"/>
        </w:rPr>
      </w:pPr>
      <w:r>
        <w:rPr>
          <w:rFonts w:ascii="Times New Roman" w:hAnsi="Times New Roman"/>
          <w:sz w:val="20"/>
          <w:szCs w:val="20"/>
          <w:lang w:val="es-AR"/>
        </w:rPr>
        <w:t>ARANGO, R., </w:t>
      </w:r>
      <w:r>
        <w:rPr>
          <w:rFonts w:ascii="Times New Roman" w:hAnsi="Times New Roman"/>
          <w:i/>
          <w:sz w:val="20"/>
          <w:szCs w:val="20"/>
          <w:lang w:val="es-AR"/>
        </w:rPr>
        <w:t>El concepto de derechos sociales fundamentales</w:t>
      </w:r>
      <w:r>
        <w:rPr>
          <w:rFonts w:ascii="Times New Roman" w:hAnsi="Times New Roman"/>
          <w:sz w:val="20"/>
          <w:szCs w:val="20"/>
          <w:lang w:val="es-AR"/>
        </w:rPr>
        <w:t>, Legis-Universidad Nacional de Colombia, Bogotá, 2005</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BALDASSARRE, A.,  “Diritti social”, en  BALDASSARRE, A., </w:t>
      </w:r>
      <w:r>
        <w:rPr>
          <w:rFonts w:ascii="Times New Roman" w:hAnsi="Times New Roman"/>
          <w:i/>
          <w:sz w:val="20"/>
          <w:szCs w:val="20"/>
          <w:lang w:val="es-AR"/>
        </w:rPr>
        <w:t>Diritti della persona e valori costituz</w:t>
      </w:r>
      <w:r>
        <w:rPr>
          <w:rFonts w:ascii="Times New Roman" w:hAnsi="Times New Roman"/>
          <w:i/>
          <w:sz w:val="20"/>
          <w:szCs w:val="20"/>
          <w:lang w:val="es-AR"/>
        </w:rPr>
        <w:t>ionali</w:t>
      </w:r>
      <w:r>
        <w:rPr>
          <w:rFonts w:ascii="Times New Roman" w:hAnsi="Times New Roman"/>
          <w:sz w:val="20"/>
          <w:szCs w:val="20"/>
          <w:lang w:val="es-AR"/>
        </w:rPr>
        <w:t>, Giappichelli, Turín, 1997, p. 123 y ss.</w:t>
      </w:r>
    </w:p>
    <w:p w:rsidR="00000000" w:rsidRDefault="007B5A38">
      <w:pPr>
        <w:rPr>
          <w:rFonts w:ascii="Times New Roman" w:hAnsi="Times New Roman"/>
          <w:sz w:val="20"/>
          <w:szCs w:val="20"/>
          <w:lang w:val="es-AR"/>
        </w:rPr>
      </w:pPr>
      <w:r>
        <w:rPr>
          <w:rFonts w:ascii="Times New Roman" w:hAnsi="Times New Roman"/>
          <w:sz w:val="20"/>
          <w:szCs w:val="20"/>
          <w:lang w:val="es-ES"/>
        </w:rPr>
        <w:t xml:space="preserve">BERNAL PULIDO, C., </w:t>
      </w:r>
      <w:r>
        <w:rPr>
          <w:rFonts w:ascii="Times New Roman" w:hAnsi="Times New Roman"/>
          <w:i/>
          <w:sz w:val="20"/>
          <w:szCs w:val="20"/>
          <w:lang w:val="es-ES"/>
        </w:rPr>
        <w:t>El principio de proporcionalidad  y los derechos fundamentales</w:t>
      </w:r>
      <w:r>
        <w:rPr>
          <w:rFonts w:ascii="Times New Roman" w:hAnsi="Times New Roman"/>
          <w:sz w:val="20"/>
          <w:szCs w:val="20"/>
          <w:lang w:val="es-ES"/>
        </w:rPr>
        <w:t>, Centro  de Estudios Políticos y Constitucionales, Madrid,  tercera  edición, 2007</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BIFULCO, D.,  </w:t>
      </w:r>
      <w:r>
        <w:rPr>
          <w:rFonts w:ascii="Times New Roman" w:hAnsi="Times New Roman"/>
          <w:i/>
          <w:sz w:val="20"/>
          <w:szCs w:val="20"/>
          <w:lang w:val="es-AR"/>
        </w:rPr>
        <w:t>L’inviolabilità dei diritti s</w:t>
      </w:r>
      <w:r>
        <w:rPr>
          <w:rFonts w:ascii="Times New Roman" w:hAnsi="Times New Roman"/>
          <w:i/>
          <w:sz w:val="20"/>
          <w:szCs w:val="20"/>
          <w:lang w:val="es-AR"/>
        </w:rPr>
        <w:t>ociali</w:t>
      </w:r>
      <w:r>
        <w:rPr>
          <w:rFonts w:ascii="Times New Roman" w:hAnsi="Times New Roman"/>
          <w:sz w:val="20"/>
          <w:szCs w:val="20"/>
          <w:lang w:val="es-AR"/>
        </w:rPr>
        <w:t>,  Jovene, Nápoles, 2003</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BISCARETTI DI RUFFIA, P., </w:t>
      </w:r>
      <w:r>
        <w:rPr>
          <w:rFonts w:ascii="Times New Roman" w:hAnsi="Times New Roman"/>
          <w:i/>
          <w:sz w:val="20"/>
          <w:szCs w:val="20"/>
          <w:lang w:val="es-AR"/>
        </w:rPr>
        <w:t>Introducción al derecho constitucional comparado</w:t>
      </w:r>
      <w:r>
        <w:rPr>
          <w:rFonts w:ascii="Times New Roman" w:hAnsi="Times New Roman"/>
          <w:sz w:val="20"/>
          <w:szCs w:val="20"/>
          <w:lang w:val="es-AR"/>
        </w:rPr>
        <w:t>, trad. de H. Fix-Zamudio, Fondo de Cultura Económica, México, 1996</w:t>
      </w:r>
    </w:p>
    <w:p w:rsidR="00000000" w:rsidRDefault="007B5A38">
      <w:pPr>
        <w:rPr>
          <w:rFonts w:ascii="Times New Roman" w:hAnsi="Times New Roman"/>
          <w:bCs/>
          <w:sz w:val="20"/>
          <w:szCs w:val="20"/>
          <w:lang w:val="es-AR"/>
        </w:rPr>
      </w:pPr>
      <w:r>
        <w:rPr>
          <w:rFonts w:ascii="Times New Roman" w:hAnsi="Times New Roman"/>
          <w:bCs/>
          <w:sz w:val="20"/>
          <w:szCs w:val="20"/>
          <w:lang w:val="es-AR"/>
        </w:rPr>
        <w:t>BÖCKENFÖRDE, E. W., “Los derechos fundamentales sociales en la estructura de la Con</w:t>
      </w:r>
      <w:r>
        <w:rPr>
          <w:rFonts w:ascii="Times New Roman" w:hAnsi="Times New Roman"/>
          <w:bCs/>
          <w:sz w:val="20"/>
          <w:szCs w:val="20"/>
          <w:lang w:val="es-AR"/>
        </w:rPr>
        <w:t xml:space="preserve">stitución”, en BÖCKENFÖRDE, E. W., </w:t>
      </w:r>
      <w:r>
        <w:rPr>
          <w:rFonts w:ascii="Times New Roman" w:hAnsi="Times New Roman"/>
          <w:bCs/>
          <w:i/>
          <w:sz w:val="20"/>
          <w:szCs w:val="20"/>
          <w:lang w:val="es-AR"/>
        </w:rPr>
        <w:t>Escritos sobre Derechos Fundamentales</w:t>
      </w:r>
      <w:r>
        <w:rPr>
          <w:rFonts w:ascii="Times New Roman" w:hAnsi="Times New Roman"/>
          <w:bCs/>
          <w:sz w:val="20"/>
          <w:szCs w:val="20"/>
          <w:lang w:val="es-AR"/>
        </w:rPr>
        <w:t>, trad. de Requejo Pagés, J. L. y Villaverde Menéndez, I., Baden-Baden, 1993, pp. 74 y ss.</w:t>
      </w:r>
    </w:p>
    <w:p w:rsidR="00000000" w:rsidRDefault="007B5A38">
      <w:pPr>
        <w:rPr>
          <w:rFonts w:ascii="Times New Roman" w:hAnsi="Times New Roman"/>
          <w:sz w:val="20"/>
          <w:szCs w:val="20"/>
          <w:lang w:val="es-AR"/>
        </w:rPr>
      </w:pPr>
      <w:r>
        <w:rPr>
          <w:rFonts w:ascii="Times New Roman" w:hAnsi="Times New Roman"/>
          <w:bCs/>
          <w:sz w:val="20"/>
          <w:szCs w:val="20"/>
          <w:lang w:val="es-AR"/>
        </w:rPr>
        <w:t>BOTERO, S., “La reforma constitucional de 1936, el Estado y las políticas sociales en Colombi</w:t>
      </w:r>
      <w:r>
        <w:rPr>
          <w:rFonts w:ascii="Times New Roman" w:hAnsi="Times New Roman"/>
          <w:bCs/>
          <w:sz w:val="20"/>
          <w:szCs w:val="20"/>
          <w:lang w:val="es-AR"/>
        </w:rPr>
        <w:t xml:space="preserve">a”,  en </w:t>
      </w:r>
      <w:r>
        <w:rPr>
          <w:rFonts w:ascii="Times New Roman" w:hAnsi="Times New Roman"/>
          <w:sz w:val="20"/>
          <w:szCs w:val="20"/>
          <w:lang w:val="es-AR"/>
        </w:rPr>
        <w:t>Anuario Colombiano de Historia Social y de la Cultura No. 33, 2006, pp. 85-109</w:t>
      </w:r>
    </w:p>
    <w:p w:rsidR="00000000" w:rsidRDefault="007B5A38">
      <w:pPr>
        <w:rPr>
          <w:rFonts w:ascii="Times New Roman" w:hAnsi="Times New Roman"/>
          <w:sz w:val="20"/>
          <w:szCs w:val="20"/>
        </w:rPr>
      </w:pPr>
      <w:r>
        <w:rPr>
          <w:rFonts w:ascii="Times New Roman" w:hAnsi="Times New Roman"/>
          <w:sz w:val="20"/>
          <w:szCs w:val="20"/>
        </w:rPr>
        <w:t xml:space="preserve">BRAND, D. y HEYNS, C., </w:t>
      </w:r>
      <w:r>
        <w:rPr>
          <w:rFonts w:ascii="Times New Roman" w:hAnsi="Times New Roman"/>
          <w:i/>
          <w:sz w:val="20"/>
          <w:szCs w:val="20"/>
        </w:rPr>
        <w:t>Socio-Economic Rights in South Africa</w:t>
      </w:r>
      <w:r>
        <w:rPr>
          <w:rFonts w:ascii="Times New Roman" w:hAnsi="Times New Roman"/>
          <w:sz w:val="20"/>
          <w:szCs w:val="20"/>
        </w:rPr>
        <w:t>, Pretoria University Law Press, Pretoria, 2005</w:t>
      </w:r>
    </w:p>
    <w:p w:rsidR="00000000" w:rsidRDefault="007B5A38">
      <w:pPr>
        <w:rPr>
          <w:rFonts w:ascii="Times New Roman" w:hAnsi="Times New Roman"/>
          <w:sz w:val="20"/>
          <w:szCs w:val="20"/>
          <w:lang w:val="es-AR"/>
        </w:rPr>
      </w:pPr>
      <w:r>
        <w:rPr>
          <w:rFonts w:ascii="Times New Roman" w:hAnsi="Times New Roman"/>
          <w:sz w:val="20"/>
          <w:szCs w:val="20"/>
          <w:lang w:val="es-AR"/>
        </w:rPr>
        <w:t>BUITRAGO GUZMAN, María Rosalba, “Análisis comparado de los in</w:t>
      </w:r>
      <w:r>
        <w:rPr>
          <w:rFonts w:ascii="Times New Roman" w:hAnsi="Times New Roman"/>
          <w:sz w:val="20"/>
          <w:szCs w:val="20"/>
          <w:lang w:val="es-AR"/>
        </w:rPr>
        <w:t xml:space="preserve">icios del constitucionalismo social”, en MARQUARDT, Bernd (ed.), </w:t>
      </w:r>
      <w:r>
        <w:rPr>
          <w:rFonts w:ascii="Times New Roman" w:hAnsi="Times New Roman"/>
          <w:i/>
          <w:sz w:val="20"/>
          <w:szCs w:val="20"/>
          <w:lang w:val="es-AR"/>
        </w:rPr>
        <w:t>Constitucionalismo comparado. Acercamientos Metodológicos, Históricos y Teóricos</w:t>
      </w:r>
      <w:r>
        <w:rPr>
          <w:rFonts w:ascii="Times New Roman" w:hAnsi="Times New Roman"/>
          <w:sz w:val="20"/>
          <w:szCs w:val="20"/>
          <w:lang w:val="es-AR"/>
        </w:rPr>
        <w:t>, Universidad Nacional de Colombia, UNIJUS, Bogotá, 2009,  pp. 391-422</w:t>
      </w:r>
    </w:p>
    <w:p w:rsidR="00000000" w:rsidRDefault="007B5A38">
      <w:pPr>
        <w:rPr>
          <w:rFonts w:ascii="Times New Roman" w:hAnsi="Times New Roman"/>
          <w:sz w:val="20"/>
          <w:szCs w:val="20"/>
        </w:rPr>
      </w:pPr>
      <w:r>
        <w:rPr>
          <w:rFonts w:ascii="Times New Roman" w:hAnsi="Times New Roman"/>
          <w:sz w:val="20"/>
          <w:szCs w:val="20"/>
        </w:rPr>
        <w:t xml:space="preserve">CALDWELL, P. C., </w:t>
      </w:r>
      <w:r>
        <w:rPr>
          <w:rFonts w:ascii="Times New Roman" w:hAnsi="Times New Roman"/>
          <w:i/>
          <w:sz w:val="20"/>
          <w:szCs w:val="20"/>
        </w:rPr>
        <w:t>Popular Sovereignty and</w:t>
      </w:r>
      <w:r>
        <w:rPr>
          <w:rFonts w:ascii="Times New Roman" w:hAnsi="Times New Roman"/>
          <w:i/>
          <w:sz w:val="20"/>
          <w:szCs w:val="20"/>
        </w:rPr>
        <w:t xml:space="preserve"> the Crisis of German Constitutional Law: the Theory and Practice of Weimar Constitutionalism</w:t>
      </w:r>
      <w:r>
        <w:rPr>
          <w:rFonts w:ascii="Times New Roman" w:hAnsi="Times New Roman"/>
          <w:sz w:val="20"/>
          <w:szCs w:val="20"/>
        </w:rPr>
        <w:t>, Duke University Press, Durham, 1997;</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CANOTILHO, J. J. G., </w:t>
      </w:r>
      <w:r>
        <w:rPr>
          <w:rFonts w:ascii="Times New Roman" w:hAnsi="Times New Roman"/>
          <w:i/>
          <w:sz w:val="20"/>
          <w:szCs w:val="20"/>
          <w:lang w:val="es-AR"/>
        </w:rPr>
        <w:t>Constituição dirigente e vinculação do legislador: contributo para a compreensão das normas constitucio</w:t>
      </w:r>
      <w:r>
        <w:rPr>
          <w:rFonts w:ascii="Times New Roman" w:hAnsi="Times New Roman"/>
          <w:i/>
          <w:sz w:val="20"/>
          <w:szCs w:val="20"/>
          <w:lang w:val="es-AR"/>
        </w:rPr>
        <w:t>nais programáticas</w:t>
      </w:r>
      <w:r>
        <w:rPr>
          <w:rFonts w:ascii="Times New Roman" w:hAnsi="Times New Roman"/>
          <w:sz w:val="20"/>
          <w:szCs w:val="20"/>
          <w:lang w:val="es-AR"/>
        </w:rPr>
        <w:t xml:space="preserve">, Coimbra Editora, Coimbra, 1982, </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CANOTILHO, J. J. G., “Tomemos en serio los derechos económicos, sociales y culturales”, </w:t>
      </w:r>
      <w:r>
        <w:rPr>
          <w:rFonts w:ascii="Times New Roman" w:hAnsi="Times New Roman"/>
          <w:i/>
          <w:iCs/>
          <w:sz w:val="20"/>
          <w:szCs w:val="20"/>
          <w:lang w:val="es-AR"/>
        </w:rPr>
        <w:t>Revista del Centro de Estudios Constitucionales</w:t>
      </w:r>
      <w:r>
        <w:rPr>
          <w:rFonts w:ascii="Times New Roman" w:hAnsi="Times New Roman"/>
          <w:sz w:val="20"/>
          <w:szCs w:val="20"/>
          <w:lang w:val="es-AR"/>
        </w:rPr>
        <w:t xml:space="preserve"> Nº 1, 1988, pp. 239-260</w:t>
      </w:r>
    </w:p>
    <w:p w:rsidR="00000000" w:rsidRDefault="007B5A38">
      <w:pPr>
        <w:rPr>
          <w:rFonts w:ascii="Times New Roman" w:hAnsi="Times New Roman"/>
          <w:sz w:val="20"/>
          <w:szCs w:val="20"/>
          <w:lang w:val="es-AR"/>
        </w:rPr>
      </w:pPr>
      <w:r>
        <w:rPr>
          <w:rFonts w:ascii="Times New Roman" w:hAnsi="Times New Roman"/>
          <w:sz w:val="20"/>
          <w:szCs w:val="20"/>
          <w:lang w:val="es-AR"/>
        </w:rPr>
        <w:t>CANOTILHO, J. J. G., “Metodología fuzzy y c</w:t>
      </w:r>
      <w:r>
        <w:rPr>
          <w:rFonts w:ascii="Times New Roman" w:hAnsi="Times New Roman"/>
          <w:sz w:val="20"/>
          <w:szCs w:val="20"/>
          <w:lang w:val="es-AR"/>
        </w:rPr>
        <w:t>amaleones normativos en la problemática actual de los derechos económicos, sociales y culturales”, en Derechos y Libertades: Revista del Instituto Bartolomé de las Casas, N°6, 1998</w:t>
      </w:r>
      <w:r>
        <w:rPr>
          <w:rFonts w:ascii="Times New Roman" w:hAnsi="Times New Roman"/>
          <w:b/>
          <w:bCs/>
          <w:sz w:val="20"/>
          <w:szCs w:val="20"/>
          <w:lang w:val="es-AR"/>
        </w:rPr>
        <w:t xml:space="preserve">, </w:t>
      </w:r>
      <w:r>
        <w:rPr>
          <w:rFonts w:ascii="Times New Roman" w:hAnsi="Times New Roman"/>
          <w:bCs/>
          <w:sz w:val="20"/>
          <w:szCs w:val="20"/>
          <w:lang w:val="es-AR"/>
        </w:rPr>
        <w:t>pp. 35-50.</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CARBONELL, M., CRUZ PARCERO, J. A. y VAZQUEZ, R. (comps.), </w:t>
      </w:r>
      <w:r>
        <w:rPr>
          <w:rFonts w:ascii="Times New Roman" w:hAnsi="Times New Roman"/>
          <w:i/>
          <w:sz w:val="20"/>
          <w:szCs w:val="20"/>
          <w:lang w:val="es-AR"/>
        </w:rPr>
        <w:t>Dere</w:t>
      </w:r>
      <w:r>
        <w:rPr>
          <w:rFonts w:ascii="Times New Roman" w:hAnsi="Times New Roman"/>
          <w:i/>
          <w:sz w:val="20"/>
          <w:szCs w:val="20"/>
          <w:lang w:val="es-AR"/>
        </w:rPr>
        <w:t>chos sociales y derechos de las minorías</w:t>
      </w:r>
      <w:r>
        <w:rPr>
          <w:rFonts w:ascii="Times New Roman" w:hAnsi="Times New Roman"/>
          <w:sz w:val="20"/>
          <w:szCs w:val="20"/>
          <w:lang w:val="es-AR"/>
        </w:rPr>
        <w:t>, 2da. Ed, Porrúa-UNAM, México, 2001</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CARBONELL CORTINA, N., </w:t>
      </w:r>
      <w:r>
        <w:rPr>
          <w:rFonts w:ascii="Times New Roman" w:hAnsi="Times New Roman"/>
          <w:i/>
          <w:sz w:val="20"/>
          <w:szCs w:val="20"/>
          <w:lang w:val="es-AR"/>
        </w:rPr>
        <w:t>El Espíritu de la Constitución Cubana de 1940, Principios y Doctrina</w:t>
      </w:r>
      <w:r>
        <w:rPr>
          <w:rFonts w:ascii="Times New Roman" w:hAnsi="Times New Roman"/>
          <w:sz w:val="20"/>
          <w:szCs w:val="20"/>
          <w:lang w:val="es-AR"/>
        </w:rPr>
        <w:t>, Playor, Madrid, 1974</w:t>
      </w:r>
    </w:p>
    <w:p w:rsidR="00000000" w:rsidRDefault="007B5A38">
      <w:pPr>
        <w:rPr>
          <w:rFonts w:ascii="Times New Roman" w:hAnsi="Times New Roman"/>
          <w:sz w:val="20"/>
          <w:szCs w:val="20"/>
        </w:rPr>
      </w:pPr>
      <w:r>
        <w:rPr>
          <w:rFonts w:ascii="Times New Roman" w:hAnsi="Times New Roman"/>
          <w:sz w:val="20"/>
          <w:szCs w:val="20"/>
          <w:lang w:val="es-AR"/>
        </w:rPr>
        <w:t>CARMONA CUENCA, E., </w:t>
      </w:r>
      <w:r>
        <w:rPr>
          <w:rFonts w:ascii="Times New Roman" w:hAnsi="Times New Roman"/>
          <w:i/>
          <w:iCs/>
          <w:sz w:val="20"/>
          <w:szCs w:val="20"/>
          <w:lang w:val="es-AR"/>
        </w:rPr>
        <w:t>El Estado Social de Derecho en la Constitució</w:t>
      </w:r>
      <w:r>
        <w:rPr>
          <w:rFonts w:ascii="Times New Roman" w:hAnsi="Times New Roman"/>
          <w:i/>
          <w:iCs/>
          <w:sz w:val="20"/>
          <w:szCs w:val="20"/>
          <w:lang w:val="es-AR"/>
        </w:rPr>
        <w:t>n </w:t>
      </w:r>
      <w:r>
        <w:rPr>
          <w:rFonts w:ascii="Times New Roman" w:hAnsi="Times New Roman"/>
          <w:sz w:val="20"/>
          <w:szCs w:val="20"/>
          <w:lang w:val="es-AR"/>
        </w:rPr>
        <w:t>(Madrid).  </w:t>
      </w:r>
      <w:r>
        <w:rPr>
          <w:rFonts w:ascii="Times New Roman" w:hAnsi="Times New Roman"/>
          <w:sz w:val="20"/>
          <w:szCs w:val="20"/>
        </w:rPr>
        <w:t>Consejo Económico y Social., Madrid, 2000</w:t>
      </w:r>
    </w:p>
    <w:p w:rsidR="00000000" w:rsidRDefault="007B5A38">
      <w:pPr>
        <w:rPr>
          <w:rFonts w:ascii="Times New Roman" w:hAnsi="Times New Roman"/>
          <w:sz w:val="20"/>
          <w:szCs w:val="20"/>
        </w:rPr>
      </w:pPr>
      <w:r>
        <w:rPr>
          <w:rFonts w:ascii="Times New Roman" w:hAnsi="Times New Roman"/>
          <w:sz w:val="20"/>
          <w:szCs w:val="20"/>
        </w:rPr>
        <w:t>CHAPMAN, A. y RUSSELL, S. (eds</w:t>
      </w:r>
      <w:r>
        <w:rPr>
          <w:rFonts w:ascii="Times New Roman" w:hAnsi="Times New Roman"/>
          <w:i/>
          <w:sz w:val="20"/>
          <w:szCs w:val="20"/>
        </w:rPr>
        <w:t>.), Core obligations: building a framework for economic, social and cultural rights</w:t>
      </w:r>
      <w:r>
        <w:rPr>
          <w:rFonts w:ascii="Times New Roman" w:hAnsi="Times New Roman"/>
          <w:sz w:val="20"/>
          <w:szCs w:val="20"/>
        </w:rPr>
        <w:t>, Intersentia, Amberes 2002</w:t>
      </w:r>
    </w:p>
    <w:p w:rsidR="00000000" w:rsidRDefault="007B5A38">
      <w:pPr>
        <w:rPr>
          <w:rFonts w:ascii="Times New Roman" w:hAnsi="Times New Roman"/>
          <w:sz w:val="20"/>
          <w:szCs w:val="20"/>
          <w:lang w:val="fr-CH"/>
        </w:rPr>
      </w:pPr>
      <w:r>
        <w:rPr>
          <w:rFonts w:ascii="Times New Roman" w:hAnsi="Times New Roman"/>
          <w:sz w:val="20"/>
          <w:szCs w:val="20"/>
          <w:lang w:val="fr-CH"/>
        </w:rPr>
        <w:lastRenderedPageBreak/>
        <w:t xml:space="preserve">CONAC, G, PRÉTOT, X. y TÉBOUL, G. (dirs.), </w:t>
      </w:r>
      <w:r>
        <w:rPr>
          <w:rFonts w:ascii="Times New Roman" w:hAnsi="Times New Roman"/>
          <w:i/>
          <w:sz w:val="20"/>
          <w:szCs w:val="20"/>
          <w:lang w:val="fr-CH"/>
        </w:rPr>
        <w:t>Le Préambule de l</w:t>
      </w:r>
      <w:r>
        <w:rPr>
          <w:rFonts w:ascii="Times New Roman" w:hAnsi="Times New Roman"/>
          <w:i/>
          <w:sz w:val="20"/>
          <w:szCs w:val="20"/>
          <w:lang w:val="fr-CH"/>
        </w:rPr>
        <w:t>a Constitution de 1946</w:t>
      </w:r>
      <w:r>
        <w:rPr>
          <w:rFonts w:ascii="Times New Roman" w:hAnsi="Times New Roman"/>
          <w:sz w:val="20"/>
          <w:szCs w:val="20"/>
          <w:lang w:val="fr-CH"/>
        </w:rPr>
        <w:t>, Dalloz, Paris, 2001</w:t>
      </w:r>
    </w:p>
    <w:p w:rsidR="00000000" w:rsidRDefault="007B5A38">
      <w:pPr>
        <w:rPr>
          <w:rFonts w:ascii="Times New Roman" w:hAnsi="Times New Roman"/>
          <w:sz w:val="20"/>
          <w:szCs w:val="20"/>
          <w:lang w:val="es-ES"/>
        </w:rPr>
      </w:pPr>
      <w:r>
        <w:rPr>
          <w:rFonts w:ascii="Times New Roman" w:hAnsi="Times New Roman"/>
          <w:sz w:val="20"/>
          <w:szCs w:val="20"/>
          <w:lang w:val="es-ES"/>
        </w:rPr>
        <w:t>CORCUERA, J., “La Constitución española de 1931 en la historia constitucional comparada”, en Fundamentos. Cuadernos monográficos de teoría del Estado, derecho público e historia constitucional, núm. 2, Oviedo, 20</w:t>
      </w:r>
      <w:r>
        <w:rPr>
          <w:rFonts w:ascii="Times New Roman" w:hAnsi="Times New Roman"/>
          <w:sz w:val="20"/>
          <w:szCs w:val="20"/>
          <w:lang w:val="es-ES"/>
        </w:rPr>
        <w:t>00, pp. 629 y ss.</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COSSIO DIAZ, J. R., “Los derechos sociales como normas programáticas y la comprensión política de la Constitución, en VV.AA., </w:t>
      </w:r>
      <w:r>
        <w:rPr>
          <w:rFonts w:ascii="Times New Roman" w:hAnsi="Times New Roman"/>
          <w:i/>
          <w:sz w:val="20"/>
          <w:szCs w:val="20"/>
          <w:lang w:val="es-AR"/>
        </w:rPr>
        <w:t>Ochenta años de vida constitucional de México</w:t>
      </w:r>
      <w:r>
        <w:rPr>
          <w:rFonts w:ascii="Times New Roman" w:hAnsi="Times New Roman"/>
          <w:sz w:val="20"/>
          <w:szCs w:val="20"/>
          <w:lang w:val="es-AR"/>
        </w:rPr>
        <w:t>, Cámara de Diputados-Instituto de Investigaciones Jurídicas, Méxic</w:t>
      </w:r>
      <w:r>
        <w:rPr>
          <w:rFonts w:ascii="Times New Roman" w:hAnsi="Times New Roman"/>
          <w:sz w:val="20"/>
          <w:szCs w:val="20"/>
          <w:lang w:val="es-AR"/>
        </w:rPr>
        <w:t>o, 1998,  pp. 295-328</w:t>
      </w:r>
    </w:p>
    <w:p w:rsidR="00000000" w:rsidRDefault="007B5A38">
      <w:pPr>
        <w:rPr>
          <w:rFonts w:ascii="Times New Roman" w:hAnsi="Times New Roman"/>
          <w:sz w:val="20"/>
          <w:szCs w:val="20"/>
          <w:lang w:val="es-AR"/>
        </w:rPr>
      </w:pPr>
      <w:r>
        <w:rPr>
          <w:rFonts w:ascii="Times New Roman" w:hAnsi="Times New Roman"/>
          <w:sz w:val="20"/>
          <w:szCs w:val="20"/>
          <w:lang w:val="es-ES_tradnl"/>
        </w:rPr>
        <w:t xml:space="preserve">COURTIS, C. y GARGARELLA, R., “El nuevo constitucionalismo latinoamericano. Promesas e interrogantes”, en HOPENHAYN, M. y SOJO, A. (comps.), </w:t>
      </w:r>
      <w:r>
        <w:rPr>
          <w:rFonts w:ascii="Times New Roman" w:hAnsi="Times New Roman"/>
          <w:i/>
          <w:sz w:val="20"/>
          <w:szCs w:val="20"/>
          <w:lang w:val="es-ES_tradnl"/>
        </w:rPr>
        <w:t>Sentido de pertenencia en sociedades fragmentadas. América Latina desde una perspectiva globa</w:t>
      </w:r>
      <w:r>
        <w:rPr>
          <w:rFonts w:ascii="Times New Roman" w:hAnsi="Times New Roman"/>
          <w:i/>
          <w:sz w:val="20"/>
          <w:szCs w:val="20"/>
          <w:lang w:val="es-ES_tradnl"/>
        </w:rPr>
        <w:t>l</w:t>
      </w:r>
      <w:r>
        <w:rPr>
          <w:rFonts w:ascii="Times New Roman" w:hAnsi="Times New Roman"/>
          <w:sz w:val="20"/>
          <w:szCs w:val="20"/>
          <w:lang w:val="es-ES_tradnl"/>
        </w:rPr>
        <w:t>, Siglo XXI-CEPAL, Buenos Aires, 2011, pp. 307-343</w:t>
      </w:r>
    </w:p>
    <w:p w:rsidR="00000000" w:rsidRDefault="007B5A38">
      <w:pPr>
        <w:rPr>
          <w:rFonts w:ascii="Times New Roman" w:hAnsi="Times New Roman"/>
          <w:sz w:val="20"/>
          <w:szCs w:val="20"/>
        </w:rPr>
      </w:pPr>
      <w:r>
        <w:rPr>
          <w:rFonts w:ascii="Times New Roman" w:hAnsi="Times New Roman"/>
          <w:sz w:val="20"/>
          <w:szCs w:val="20"/>
        </w:rPr>
        <w:t xml:space="preserve">CRAVEN, M., </w:t>
      </w:r>
      <w:r>
        <w:rPr>
          <w:rFonts w:ascii="Times New Roman" w:hAnsi="Times New Roman"/>
          <w:i/>
          <w:sz w:val="20"/>
          <w:szCs w:val="20"/>
        </w:rPr>
        <w:t>The International Covenant on Economic, Social and Cultural Rights: a perspective on its development</w:t>
      </w:r>
      <w:r>
        <w:rPr>
          <w:rFonts w:ascii="Times New Roman" w:hAnsi="Times New Roman"/>
          <w:sz w:val="20"/>
          <w:szCs w:val="20"/>
        </w:rPr>
        <w:t>, Clarendon Press, Oxford, 1998</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DE BUEN, N., </w:t>
      </w:r>
      <w:r>
        <w:rPr>
          <w:rFonts w:ascii="Times New Roman" w:hAnsi="Times New Roman"/>
          <w:i/>
          <w:sz w:val="20"/>
          <w:szCs w:val="20"/>
          <w:lang w:val="es-AR"/>
        </w:rPr>
        <w:t>La decadencia del derecho del trabajo</w:t>
      </w:r>
      <w:r>
        <w:rPr>
          <w:rFonts w:ascii="Times New Roman" w:hAnsi="Times New Roman"/>
          <w:sz w:val="20"/>
          <w:szCs w:val="20"/>
          <w:lang w:val="es-AR"/>
        </w:rPr>
        <w:t xml:space="preserve">, Porrúa, </w:t>
      </w:r>
      <w:r>
        <w:rPr>
          <w:rFonts w:ascii="Times New Roman" w:hAnsi="Times New Roman"/>
          <w:sz w:val="20"/>
          <w:szCs w:val="20"/>
          <w:lang w:val="es-AR"/>
        </w:rPr>
        <w:t>México, 2001</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DE LA CUEVA, M., </w:t>
      </w:r>
      <w:r>
        <w:rPr>
          <w:rFonts w:ascii="Times New Roman" w:hAnsi="Times New Roman"/>
          <w:i/>
          <w:sz w:val="20"/>
          <w:szCs w:val="20"/>
          <w:lang w:val="es-AR"/>
        </w:rPr>
        <w:t>Derecho</w:t>
      </w:r>
      <w:r>
        <w:rPr>
          <w:rFonts w:ascii="Times New Roman" w:hAnsi="Times New Roman"/>
          <w:sz w:val="20"/>
          <w:szCs w:val="20"/>
          <w:lang w:val="es-AR"/>
        </w:rPr>
        <w:t xml:space="preserve"> </w:t>
      </w:r>
      <w:r>
        <w:rPr>
          <w:rFonts w:ascii="Times New Roman" w:hAnsi="Times New Roman"/>
          <w:i/>
          <w:sz w:val="20"/>
          <w:szCs w:val="20"/>
          <w:lang w:val="es-AR"/>
        </w:rPr>
        <w:t>mexicano del trabajo</w:t>
      </w:r>
      <w:r>
        <w:rPr>
          <w:rFonts w:ascii="Times New Roman" w:hAnsi="Times New Roman"/>
          <w:sz w:val="20"/>
          <w:szCs w:val="20"/>
          <w:lang w:val="es-AR"/>
        </w:rPr>
        <w:t>, 2da. Ed., Porrúa, México, 1943</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DENISOV, A. y KIRICHENKO, M., </w:t>
      </w:r>
      <w:r>
        <w:rPr>
          <w:rFonts w:ascii="Times New Roman" w:hAnsi="Times New Roman"/>
          <w:i/>
          <w:sz w:val="20"/>
          <w:szCs w:val="20"/>
          <w:lang w:val="es-AR"/>
        </w:rPr>
        <w:t>Derecho constitucional soviético</w:t>
      </w:r>
      <w:r>
        <w:rPr>
          <w:rFonts w:ascii="Times New Roman" w:hAnsi="Times New Roman"/>
          <w:sz w:val="20"/>
          <w:szCs w:val="20"/>
          <w:lang w:val="es-AR"/>
        </w:rPr>
        <w:t>, Ediciones en Lenguas Extranjeras, Moscú, 1959, pp. 309-341</w:t>
      </w:r>
    </w:p>
    <w:p w:rsidR="00000000" w:rsidRDefault="007B5A38">
      <w:pPr>
        <w:rPr>
          <w:rFonts w:ascii="Times New Roman" w:hAnsi="Times New Roman"/>
          <w:sz w:val="20"/>
          <w:szCs w:val="20"/>
        </w:rPr>
      </w:pPr>
      <w:r>
        <w:rPr>
          <w:rFonts w:ascii="Times New Roman" w:hAnsi="Times New Roman"/>
          <w:sz w:val="20"/>
          <w:szCs w:val="20"/>
        </w:rPr>
        <w:t>EIDE, A., KRAUSE, C. y ROSAS, A. (eds.), </w:t>
      </w:r>
      <w:r>
        <w:rPr>
          <w:rFonts w:ascii="Times New Roman" w:hAnsi="Times New Roman"/>
          <w:i/>
          <w:sz w:val="20"/>
          <w:szCs w:val="20"/>
        </w:rPr>
        <w:t>E</w:t>
      </w:r>
      <w:r>
        <w:rPr>
          <w:rFonts w:ascii="Times New Roman" w:hAnsi="Times New Roman"/>
          <w:i/>
          <w:sz w:val="20"/>
          <w:szCs w:val="20"/>
        </w:rPr>
        <w:t>conomic, social and cultural rights: a textbook</w:t>
      </w:r>
      <w:r>
        <w:rPr>
          <w:rFonts w:ascii="Times New Roman" w:hAnsi="Times New Roman"/>
          <w:sz w:val="20"/>
          <w:szCs w:val="20"/>
        </w:rPr>
        <w:t>, 2ª ed., M. Nijhoff Publishers, Dordrecht, 2001</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ESCOBAR ROCA, G. (dir.), </w:t>
      </w:r>
      <w:r>
        <w:rPr>
          <w:rFonts w:ascii="Times New Roman" w:hAnsi="Times New Roman"/>
          <w:i/>
          <w:sz w:val="20"/>
          <w:szCs w:val="20"/>
          <w:lang w:val="es-AR"/>
        </w:rPr>
        <w:t>Derechos sociales y tutela antidiscriminatoria</w:t>
      </w:r>
      <w:r>
        <w:rPr>
          <w:rFonts w:ascii="Times New Roman" w:hAnsi="Times New Roman"/>
          <w:sz w:val="20"/>
          <w:szCs w:val="20"/>
          <w:lang w:val="es-AR"/>
        </w:rPr>
        <w:t>, Dykinson, Madrid, 2012</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GARCÍA OVIEDO, C., </w:t>
      </w:r>
      <w:r>
        <w:rPr>
          <w:rFonts w:ascii="Times New Roman" w:hAnsi="Times New Roman"/>
          <w:i/>
          <w:sz w:val="20"/>
          <w:szCs w:val="20"/>
          <w:lang w:val="es-AR"/>
        </w:rPr>
        <w:t>El constitucionalismo de la posguerra</w:t>
      </w:r>
      <w:r>
        <w:rPr>
          <w:rFonts w:ascii="Times New Roman" w:hAnsi="Times New Roman"/>
          <w:sz w:val="20"/>
          <w:szCs w:val="20"/>
          <w:lang w:val="es-AR"/>
        </w:rPr>
        <w:t>, Tipogr</w:t>
      </w:r>
      <w:r>
        <w:rPr>
          <w:rFonts w:ascii="Times New Roman" w:hAnsi="Times New Roman"/>
          <w:sz w:val="20"/>
          <w:szCs w:val="20"/>
          <w:lang w:val="es-AR"/>
        </w:rPr>
        <w:t>áfica de M. Carmona, Sevilla, 1931</w:t>
      </w:r>
    </w:p>
    <w:p w:rsidR="00000000" w:rsidRDefault="007B5A38">
      <w:pPr>
        <w:rPr>
          <w:rFonts w:ascii="Times New Roman" w:hAnsi="Times New Roman"/>
          <w:sz w:val="20"/>
          <w:szCs w:val="20"/>
          <w:lang w:val="es-AR"/>
        </w:rPr>
      </w:pPr>
      <w:r>
        <w:rPr>
          <w:rFonts w:ascii="Times New Roman" w:hAnsi="Times New Roman"/>
          <w:sz w:val="20"/>
          <w:szCs w:val="20"/>
          <w:lang w:val="es-AR"/>
        </w:rPr>
        <w:t>GARCÍA RAMÍREZ, S., “Tres textos precursores en el constitucionalismo social”, Boletín Mexicano de Derecho Comparado, México, UNAM, nueva serie, año I, núm. 23, mayo-diciembre 1968,  pp. 469-480.</w:t>
      </w:r>
    </w:p>
    <w:p w:rsidR="00000000" w:rsidRDefault="007B5A38">
      <w:pPr>
        <w:rPr>
          <w:rFonts w:ascii="Times New Roman" w:hAnsi="Times New Roman"/>
          <w:sz w:val="20"/>
          <w:szCs w:val="20"/>
          <w:lang w:val="es-AR"/>
        </w:rPr>
      </w:pPr>
      <w:r>
        <w:rPr>
          <w:rFonts w:ascii="Times New Roman" w:hAnsi="Times New Roman"/>
          <w:sz w:val="20"/>
          <w:szCs w:val="20"/>
          <w:lang w:val="es-AR"/>
        </w:rPr>
        <w:t>GARCÍA VILLEGAS, M., “Der</w:t>
      </w:r>
      <w:r>
        <w:rPr>
          <w:rFonts w:ascii="Times New Roman" w:hAnsi="Times New Roman"/>
          <w:sz w:val="20"/>
          <w:szCs w:val="20"/>
          <w:lang w:val="es-AR"/>
        </w:rPr>
        <w:t xml:space="preserve">echos sociales y necesidades políticas. La eficacia judicial de los derechos sociales en el constitucionalismo colombiano”, en SANTOS, B. S. y GARCÍA VILLEGAS, M., (eds.), </w:t>
      </w:r>
      <w:r>
        <w:rPr>
          <w:rFonts w:ascii="Times New Roman" w:hAnsi="Times New Roman"/>
          <w:i/>
          <w:iCs/>
          <w:sz w:val="20"/>
          <w:szCs w:val="20"/>
          <w:lang w:val="es-AR"/>
        </w:rPr>
        <w:t>El caleidoscopio de las justicias en Colombia, </w:t>
      </w:r>
      <w:r>
        <w:rPr>
          <w:rFonts w:ascii="Times New Roman" w:hAnsi="Times New Roman"/>
          <w:sz w:val="20"/>
          <w:szCs w:val="20"/>
          <w:lang w:val="es-AR"/>
        </w:rPr>
        <w:t>2001, pp. 455-482</w:t>
      </w:r>
    </w:p>
    <w:p w:rsidR="00000000" w:rsidRDefault="007B5A38">
      <w:pPr>
        <w:rPr>
          <w:rFonts w:ascii="Times New Roman" w:hAnsi="Times New Roman"/>
          <w:sz w:val="20"/>
          <w:szCs w:val="20"/>
          <w:lang w:val="es-AR"/>
        </w:rPr>
      </w:pPr>
      <w:r>
        <w:rPr>
          <w:rFonts w:ascii="Times New Roman" w:hAnsi="Times New Roman"/>
          <w:sz w:val="20"/>
          <w:szCs w:val="20"/>
        </w:rPr>
        <w:t xml:space="preserve">GLENDON, M. A., </w:t>
      </w:r>
      <w:r>
        <w:rPr>
          <w:rFonts w:ascii="Times New Roman" w:hAnsi="Times New Roman"/>
          <w:i/>
          <w:sz w:val="20"/>
          <w:szCs w:val="20"/>
        </w:rPr>
        <w:t>A W</w:t>
      </w:r>
      <w:r>
        <w:rPr>
          <w:rFonts w:ascii="Times New Roman" w:hAnsi="Times New Roman"/>
          <w:i/>
          <w:sz w:val="20"/>
          <w:szCs w:val="20"/>
        </w:rPr>
        <w:t xml:space="preserve">orld Made New. </w:t>
      </w:r>
      <w:r>
        <w:rPr>
          <w:rFonts w:ascii="Times New Roman" w:hAnsi="Times New Roman"/>
          <w:i/>
          <w:sz w:val="20"/>
          <w:szCs w:val="20"/>
          <w:lang w:val="es-AR"/>
        </w:rPr>
        <w:t>Eleanor Roosevelt and the Universal Declaration of Human Rights</w:t>
      </w:r>
      <w:r>
        <w:rPr>
          <w:rFonts w:ascii="Times New Roman" w:hAnsi="Times New Roman"/>
          <w:sz w:val="20"/>
          <w:szCs w:val="20"/>
          <w:lang w:val="es-AR"/>
        </w:rPr>
        <w:t xml:space="preserve">, Random House, Nueva York, 2001 (versión en castellano: </w:t>
      </w:r>
      <w:r>
        <w:rPr>
          <w:rFonts w:ascii="Times New Roman" w:hAnsi="Times New Roman"/>
          <w:i/>
          <w:sz w:val="20"/>
          <w:szCs w:val="20"/>
          <w:lang w:val="es-AR"/>
        </w:rPr>
        <w:t>Un mundo nuevo. Eleanor Roosevelt y la Declaración Universal de los Derechos Humanos</w:t>
      </w:r>
      <w:r>
        <w:rPr>
          <w:rFonts w:ascii="Times New Roman" w:hAnsi="Times New Roman"/>
          <w:sz w:val="20"/>
          <w:szCs w:val="20"/>
          <w:lang w:val="es-AR"/>
        </w:rPr>
        <w:t>, trad. de P. Pallares Yabur, Fondo d</w:t>
      </w:r>
      <w:r>
        <w:rPr>
          <w:rFonts w:ascii="Times New Roman" w:hAnsi="Times New Roman"/>
          <w:sz w:val="20"/>
          <w:szCs w:val="20"/>
          <w:lang w:val="es-AR"/>
        </w:rPr>
        <w:t>e Cultura Económica, México, 2011)</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GLENDON, M. A., “El crisol olvidado: la influencia latinoamericana en la idea de los derechos humanos universales”, trad. de C. Paternina y P. Mata, en Persona y Derecho, vol. 51, 2004, pp. 103-123 </w:t>
      </w:r>
    </w:p>
    <w:p w:rsidR="00000000" w:rsidRDefault="007B5A38">
      <w:pPr>
        <w:rPr>
          <w:rFonts w:ascii="Times New Roman" w:hAnsi="Times New Roman"/>
          <w:sz w:val="20"/>
          <w:szCs w:val="20"/>
          <w:lang w:val="es-ES"/>
        </w:rPr>
      </w:pPr>
      <w:r>
        <w:rPr>
          <w:rFonts w:ascii="Times New Roman" w:hAnsi="Times New Roman"/>
          <w:sz w:val="20"/>
          <w:szCs w:val="20"/>
          <w:lang w:val="es-AR"/>
        </w:rPr>
        <w:t xml:space="preserve">GROSS ESPIELL, H., </w:t>
      </w:r>
      <w:r>
        <w:rPr>
          <w:rFonts w:ascii="Times New Roman" w:hAnsi="Times New Roman"/>
          <w:i/>
          <w:sz w:val="20"/>
          <w:szCs w:val="20"/>
          <w:lang w:val="es-AR"/>
        </w:rPr>
        <w:t xml:space="preserve">La </w:t>
      </w:r>
      <w:r>
        <w:rPr>
          <w:rFonts w:ascii="Times New Roman" w:hAnsi="Times New Roman"/>
          <w:i/>
          <w:sz w:val="20"/>
          <w:szCs w:val="20"/>
          <w:lang w:val="es-AR"/>
        </w:rPr>
        <w:t>Organización Internacional del Trabajo y los derechos humanos en América Latina</w:t>
      </w:r>
      <w:r>
        <w:rPr>
          <w:rFonts w:ascii="Times New Roman" w:hAnsi="Times New Roman"/>
          <w:sz w:val="20"/>
          <w:szCs w:val="20"/>
          <w:lang w:val="es-AR"/>
        </w:rPr>
        <w:t>, EUDEBA, Buenos Aires, 1986</w:t>
      </w:r>
    </w:p>
    <w:p w:rsidR="00000000" w:rsidRDefault="007B5A38">
      <w:pPr>
        <w:rPr>
          <w:rFonts w:ascii="Times New Roman" w:hAnsi="Times New Roman"/>
          <w:sz w:val="20"/>
          <w:szCs w:val="20"/>
          <w:lang w:val="es-AR"/>
        </w:rPr>
      </w:pPr>
      <w:r>
        <w:rPr>
          <w:rFonts w:ascii="Times New Roman" w:hAnsi="Times New Roman"/>
          <w:sz w:val="20"/>
          <w:szCs w:val="20"/>
          <w:lang w:val="es-ES"/>
        </w:rPr>
        <w:t>GUSY, C., “Las Constituciones de entreguerras en Europa central”, en Fundamentos. Cuadernos monográficos de teoría del Estado, derecho público e his</w:t>
      </w:r>
      <w:r>
        <w:rPr>
          <w:rFonts w:ascii="Times New Roman" w:hAnsi="Times New Roman"/>
          <w:sz w:val="20"/>
          <w:szCs w:val="20"/>
          <w:lang w:val="es-ES"/>
        </w:rPr>
        <w:t>toria constitucional, núm. 2, Oviedo, 2000, pp. 593 y ss.</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GUTIÉRREZ SÁNCHEZ, G., </w:t>
      </w:r>
      <w:r>
        <w:rPr>
          <w:rFonts w:ascii="Times New Roman" w:hAnsi="Times New Roman"/>
          <w:i/>
          <w:sz w:val="20"/>
          <w:szCs w:val="20"/>
          <w:lang w:val="es-AR"/>
        </w:rPr>
        <w:t>Constitución de la República de Cuba</w:t>
      </w:r>
      <w:r>
        <w:rPr>
          <w:rFonts w:ascii="Times New Roman" w:hAnsi="Times New Roman"/>
          <w:sz w:val="20"/>
          <w:szCs w:val="20"/>
          <w:lang w:val="es-AR"/>
        </w:rPr>
        <w:t>, Lex, La Habana, 1941</w:t>
      </w:r>
    </w:p>
    <w:p w:rsidR="00000000" w:rsidRDefault="007B5A38">
      <w:pPr>
        <w:rPr>
          <w:rFonts w:ascii="Times New Roman" w:hAnsi="Times New Roman"/>
          <w:sz w:val="20"/>
          <w:szCs w:val="20"/>
        </w:rPr>
      </w:pPr>
      <w:r>
        <w:rPr>
          <w:rFonts w:ascii="Times New Roman" w:hAnsi="Times New Roman"/>
          <w:sz w:val="20"/>
          <w:szCs w:val="20"/>
        </w:rPr>
        <w:t xml:space="preserve">HÄNNINEN, S., “Social constitution in historical perspective : Hugo Sinzheimer in the Weimar context”, en TUORI, K. </w:t>
      </w:r>
      <w:r>
        <w:rPr>
          <w:rFonts w:ascii="Times New Roman" w:hAnsi="Times New Roman"/>
          <w:sz w:val="20"/>
          <w:szCs w:val="20"/>
        </w:rPr>
        <w:t xml:space="preserve">y SANKARI, S. (eds.), </w:t>
      </w:r>
      <w:r>
        <w:rPr>
          <w:rFonts w:ascii="Times New Roman" w:hAnsi="Times New Roman"/>
          <w:i/>
          <w:sz w:val="20"/>
          <w:szCs w:val="20"/>
        </w:rPr>
        <w:t>The many constitutions of Europe</w:t>
      </w:r>
      <w:r>
        <w:rPr>
          <w:rFonts w:ascii="Times New Roman" w:hAnsi="Times New Roman"/>
          <w:sz w:val="20"/>
          <w:szCs w:val="20"/>
        </w:rPr>
        <w:t>, Ashgate, Farnham-Burlington, 2010, pp. 219-240</w:t>
      </w:r>
    </w:p>
    <w:p w:rsidR="00000000" w:rsidRDefault="007B5A38">
      <w:pPr>
        <w:rPr>
          <w:rFonts w:ascii="Times New Roman" w:hAnsi="Times New Roman"/>
          <w:sz w:val="20"/>
          <w:szCs w:val="20"/>
          <w:lang w:val="es-AR"/>
        </w:rPr>
      </w:pPr>
      <w:r>
        <w:rPr>
          <w:rFonts w:ascii="Times New Roman" w:hAnsi="Times New Roman"/>
          <w:sz w:val="20"/>
          <w:szCs w:val="20"/>
          <w:lang w:val="es-AR"/>
        </w:rPr>
        <w:lastRenderedPageBreak/>
        <w:t>HERRERA, C. M., “Estado, constitución y derechos sociales”, en HERRERA, C. M., Los derechos sociales, entre Estado y doctrina jurídica, trad. de M. Padró</w:t>
      </w:r>
      <w:r>
        <w:rPr>
          <w:rFonts w:ascii="Times New Roman" w:hAnsi="Times New Roman"/>
          <w:sz w:val="20"/>
          <w:szCs w:val="20"/>
          <w:lang w:val="es-AR"/>
        </w:rPr>
        <w:t>, Universidad del Externado, Bogotá, 2009, pp. 19-32</w:t>
      </w:r>
    </w:p>
    <w:p w:rsidR="00000000" w:rsidRDefault="007B5A38">
      <w:pPr>
        <w:rPr>
          <w:rFonts w:ascii="Times New Roman" w:hAnsi="Times New Roman"/>
          <w:sz w:val="20"/>
          <w:szCs w:val="20"/>
          <w:lang w:val="fr-CH"/>
        </w:rPr>
      </w:pPr>
      <w:r>
        <w:rPr>
          <w:rFonts w:ascii="Times New Roman" w:hAnsi="Times New Roman"/>
          <w:sz w:val="20"/>
          <w:szCs w:val="20"/>
          <w:lang w:val="fr-CH"/>
        </w:rPr>
        <w:t xml:space="preserve">HERRERA, C.M., </w:t>
      </w:r>
      <w:r>
        <w:rPr>
          <w:rFonts w:ascii="Times New Roman" w:hAnsi="Times New Roman"/>
          <w:i/>
          <w:sz w:val="20"/>
          <w:szCs w:val="20"/>
          <w:lang w:val="fr-CH"/>
        </w:rPr>
        <w:t>Les droits sociaux</w:t>
      </w:r>
      <w:r>
        <w:rPr>
          <w:rFonts w:ascii="Times New Roman" w:hAnsi="Times New Roman"/>
          <w:sz w:val="20"/>
          <w:szCs w:val="20"/>
          <w:lang w:val="fr-CH"/>
        </w:rPr>
        <w:t xml:space="preserve">, </w:t>
      </w:r>
      <w:r>
        <w:rPr>
          <w:rStyle w:val="nfasis"/>
          <w:rFonts w:ascii="Times New Roman" w:hAnsi="Times New Roman"/>
          <w:bCs/>
          <w:i w:val="0"/>
          <w:iCs w:val="0"/>
          <w:color w:val="000000"/>
          <w:sz w:val="20"/>
          <w:szCs w:val="20"/>
          <w:shd w:val="clear" w:color="auto" w:fill="FFFFFF"/>
          <w:lang w:val="fr-CH"/>
        </w:rPr>
        <w:t>Presses Universitaires de France</w:t>
      </w:r>
      <w:r>
        <w:rPr>
          <w:rFonts w:ascii="Times New Roman" w:hAnsi="Times New Roman"/>
          <w:sz w:val="20"/>
          <w:szCs w:val="20"/>
          <w:lang w:val="fr-CH"/>
        </w:rPr>
        <w:t>, París, 2009</w:t>
      </w:r>
    </w:p>
    <w:p w:rsidR="00000000" w:rsidRDefault="007B5A38">
      <w:pPr>
        <w:rPr>
          <w:rFonts w:ascii="Times New Roman" w:hAnsi="Times New Roman"/>
          <w:sz w:val="20"/>
          <w:szCs w:val="20"/>
        </w:rPr>
      </w:pPr>
      <w:r>
        <w:rPr>
          <w:rFonts w:ascii="Times New Roman" w:hAnsi="Times New Roman"/>
          <w:sz w:val="20"/>
          <w:szCs w:val="20"/>
        </w:rPr>
        <w:t xml:space="preserve">HUMPHREY, J. P., </w:t>
      </w:r>
      <w:r>
        <w:rPr>
          <w:rFonts w:ascii="Times New Roman" w:hAnsi="Times New Roman"/>
          <w:i/>
          <w:sz w:val="20"/>
          <w:szCs w:val="20"/>
        </w:rPr>
        <w:t>Human Rights and the United Nations: a great adventure</w:t>
      </w:r>
      <w:r>
        <w:rPr>
          <w:rFonts w:ascii="Times New Roman" w:hAnsi="Times New Roman"/>
          <w:sz w:val="20"/>
          <w:szCs w:val="20"/>
        </w:rPr>
        <w:t>, Transnational Publishers, Nueva York, 1984, pp. 3</w:t>
      </w:r>
      <w:r>
        <w:rPr>
          <w:rFonts w:ascii="Times New Roman" w:hAnsi="Times New Roman"/>
          <w:sz w:val="20"/>
          <w:szCs w:val="20"/>
        </w:rPr>
        <w:t xml:space="preserve">1-32 </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INSTITUTO INTERAMERICANO DE DERECHOS HUMANOS, </w:t>
      </w:r>
      <w:r>
        <w:rPr>
          <w:rFonts w:ascii="Times New Roman" w:hAnsi="Times New Roman"/>
          <w:i/>
          <w:sz w:val="20"/>
          <w:szCs w:val="20"/>
          <w:lang w:val="es-AR"/>
        </w:rPr>
        <w:t>Protección Internacional de los Derechos Económicos, Sociales y Culturales. Sistema Universal y Sistema Interamericano</w:t>
      </w:r>
      <w:r>
        <w:rPr>
          <w:rFonts w:ascii="Times New Roman" w:hAnsi="Times New Roman"/>
          <w:sz w:val="20"/>
          <w:szCs w:val="20"/>
          <w:lang w:val="es-AR"/>
        </w:rPr>
        <w:t>, IIDH, San José, 2008</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JELLINEK, W., BÜHLER, O., y MORTATI, C., </w:t>
      </w:r>
      <w:r>
        <w:rPr>
          <w:rFonts w:ascii="Times New Roman" w:hAnsi="Times New Roman"/>
          <w:i/>
          <w:sz w:val="20"/>
          <w:szCs w:val="20"/>
          <w:lang w:val="es-AR"/>
        </w:rPr>
        <w:t>La Constitución de Wei</w:t>
      </w:r>
      <w:r>
        <w:rPr>
          <w:rFonts w:ascii="Times New Roman" w:hAnsi="Times New Roman"/>
          <w:i/>
          <w:sz w:val="20"/>
          <w:szCs w:val="20"/>
          <w:lang w:val="es-AR"/>
        </w:rPr>
        <w:t xml:space="preserve">mar, </w:t>
      </w:r>
      <w:r>
        <w:rPr>
          <w:rFonts w:ascii="Times New Roman" w:hAnsi="Times New Roman"/>
          <w:sz w:val="20"/>
          <w:szCs w:val="20"/>
          <w:lang w:val="es-AR"/>
        </w:rPr>
        <w:t>trad. de P. Madrigal Deveca, J. Rovira Armengol y J. Luis Aja Sánchez, Tecnos, Madrid, 2010.</w:t>
      </w:r>
    </w:p>
    <w:p w:rsidR="00000000" w:rsidRDefault="007B5A38">
      <w:pPr>
        <w:rPr>
          <w:rFonts w:ascii="Times New Roman" w:hAnsi="Times New Roman"/>
          <w:sz w:val="20"/>
          <w:szCs w:val="20"/>
          <w:lang w:val="es-AR"/>
        </w:rPr>
      </w:pPr>
      <w:r>
        <w:rPr>
          <w:rFonts w:ascii="Times New Roman" w:hAnsi="Times New Roman"/>
          <w:sz w:val="20"/>
          <w:szCs w:val="20"/>
          <w:lang w:val="es-AR"/>
        </w:rPr>
        <w:t>JIMENA QUESADA, L. (coord.), Escritos sobre derecho europeo de los derechos sociales, Tirant lo Blanch, Valencia, 2004</w:t>
      </w:r>
    </w:p>
    <w:p w:rsidR="00000000" w:rsidRDefault="007B5A38">
      <w:pPr>
        <w:rPr>
          <w:rFonts w:ascii="Times New Roman" w:hAnsi="Times New Roman"/>
          <w:sz w:val="20"/>
          <w:szCs w:val="20"/>
          <w:lang w:val="es-AR"/>
        </w:rPr>
      </w:pPr>
      <w:r>
        <w:rPr>
          <w:rFonts w:ascii="Times New Roman" w:hAnsi="Times New Roman"/>
          <w:sz w:val="20"/>
          <w:szCs w:val="20"/>
          <w:lang w:val="es-AR"/>
        </w:rPr>
        <w:t>KOTOK, V., “El derecho constitucional s</w:t>
      </w:r>
      <w:r>
        <w:rPr>
          <w:rFonts w:ascii="Times New Roman" w:hAnsi="Times New Roman"/>
          <w:sz w:val="20"/>
          <w:szCs w:val="20"/>
          <w:lang w:val="es-AR"/>
        </w:rPr>
        <w:t xml:space="preserve">oviético”, trad. de J. Echenique, en ROMASHKIN, P. (ed.), </w:t>
      </w:r>
      <w:r>
        <w:rPr>
          <w:rFonts w:ascii="Times New Roman" w:hAnsi="Times New Roman"/>
          <w:i/>
          <w:sz w:val="20"/>
          <w:szCs w:val="20"/>
          <w:lang w:val="es-AR"/>
        </w:rPr>
        <w:t>Fundamentos del derecho soviético</w:t>
      </w:r>
      <w:r>
        <w:rPr>
          <w:rFonts w:ascii="Times New Roman" w:hAnsi="Times New Roman"/>
          <w:sz w:val="20"/>
          <w:szCs w:val="20"/>
          <w:lang w:val="es-AR"/>
        </w:rPr>
        <w:t xml:space="preserve">, Ediciones en Lenguas Extranjeras, Moscú, 1962, pp. 32 y ss. </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LIEBENBERG, S., </w:t>
      </w:r>
      <w:r>
        <w:rPr>
          <w:rFonts w:ascii="Times New Roman" w:hAnsi="Times New Roman"/>
          <w:i/>
          <w:sz w:val="20"/>
          <w:szCs w:val="20"/>
          <w:lang w:val="es-AR"/>
        </w:rPr>
        <w:t>Socio-Economic Rights: adjudication under a transformative constitution</w:t>
      </w:r>
      <w:r>
        <w:rPr>
          <w:rFonts w:ascii="Times New Roman" w:hAnsi="Times New Roman"/>
          <w:sz w:val="20"/>
          <w:szCs w:val="20"/>
          <w:lang w:val="es-AR"/>
        </w:rPr>
        <w:t>, Juta, Claremo</w:t>
      </w:r>
      <w:r>
        <w:rPr>
          <w:rFonts w:ascii="Times New Roman" w:hAnsi="Times New Roman"/>
          <w:sz w:val="20"/>
          <w:szCs w:val="20"/>
          <w:lang w:val="es-AR"/>
        </w:rPr>
        <w:t>nt, 2010</w:t>
      </w:r>
    </w:p>
    <w:p w:rsidR="00000000" w:rsidRDefault="007B5A38">
      <w:pPr>
        <w:rPr>
          <w:rFonts w:ascii="Times New Roman" w:hAnsi="Times New Roman"/>
          <w:sz w:val="20"/>
          <w:szCs w:val="20"/>
          <w:lang w:val="es-AR"/>
        </w:rPr>
      </w:pPr>
      <w:r>
        <w:rPr>
          <w:rFonts w:ascii="Times New Roman" w:hAnsi="Times New Roman"/>
          <w:sz w:val="20"/>
          <w:szCs w:val="20"/>
          <w:lang w:val="es-AR"/>
        </w:rPr>
        <w:t>MANZANILLA SCHAFFER, V., “Aspectos sociales de la Constitución de 1917”, en Revista de la Facultad de Derecho de México, Número 22 Abril-Junio1956, pp. 169-180</w:t>
      </w:r>
    </w:p>
    <w:p w:rsidR="00000000" w:rsidRDefault="007B5A38">
      <w:pPr>
        <w:rPr>
          <w:rFonts w:ascii="Times New Roman" w:hAnsi="Times New Roman"/>
          <w:sz w:val="20"/>
          <w:szCs w:val="20"/>
          <w:lang w:val="es-AR"/>
        </w:rPr>
      </w:pPr>
      <w:r>
        <w:rPr>
          <w:rFonts w:ascii="Times New Roman" w:hAnsi="Times New Roman"/>
          <w:sz w:val="20"/>
          <w:szCs w:val="20"/>
          <w:lang w:val="es-AR"/>
        </w:rPr>
        <w:t>MARQUARDT. B., “La cuarta fase del constitucionalismo iberoamericano: el ascenso del co</w:t>
      </w:r>
      <w:r>
        <w:rPr>
          <w:rFonts w:ascii="Times New Roman" w:hAnsi="Times New Roman"/>
          <w:sz w:val="20"/>
          <w:szCs w:val="20"/>
          <w:lang w:val="es-AR"/>
        </w:rPr>
        <w:t>nstitucionalismo social (1917-1949), en Pensamiento Jurídico núm. 28, Bogotá, mayo-agosto 2010,  pp. 119-164</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MIRANDA, J., </w:t>
      </w:r>
      <w:r>
        <w:rPr>
          <w:rFonts w:ascii="Times New Roman" w:hAnsi="Times New Roman"/>
          <w:i/>
          <w:sz w:val="20"/>
          <w:szCs w:val="20"/>
          <w:lang w:val="es-AR"/>
        </w:rPr>
        <w:t>A constituição de 1976: formação, estrutura, princípios fundamentais</w:t>
      </w:r>
      <w:r>
        <w:rPr>
          <w:rFonts w:ascii="Times New Roman" w:hAnsi="Times New Roman"/>
          <w:sz w:val="20"/>
          <w:szCs w:val="20"/>
          <w:lang w:val="es-AR"/>
        </w:rPr>
        <w:t>, Petrony, Lisboa, 1978</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MIRKINE-GUETZEVITCH, B., </w:t>
      </w:r>
      <w:r>
        <w:rPr>
          <w:rFonts w:ascii="Times New Roman" w:hAnsi="Times New Roman"/>
          <w:i/>
          <w:sz w:val="20"/>
          <w:szCs w:val="20"/>
          <w:lang w:val="es-AR"/>
        </w:rPr>
        <w:t>Modernas tendenci</w:t>
      </w:r>
      <w:r>
        <w:rPr>
          <w:rFonts w:ascii="Times New Roman" w:hAnsi="Times New Roman"/>
          <w:i/>
          <w:sz w:val="20"/>
          <w:szCs w:val="20"/>
          <w:lang w:val="es-AR"/>
        </w:rPr>
        <w:t>as del derecho constitucional</w:t>
      </w:r>
      <w:r>
        <w:rPr>
          <w:rFonts w:ascii="Times New Roman" w:hAnsi="Times New Roman"/>
          <w:sz w:val="20"/>
          <w:szCs w:val="20"/>
          <w:lang w:val="es-AR"/>
        </w:rPr>
        <w:t>, trad. de S. Álvarez Gendin, Editorial Reus, Madrid, 1934</w:t>
      </w:r>
    </w:p>
    <w:p w:rsidR="00000000" w:rsidRDefault="007B5A38">
      <w:pPr>
        <w:rPr>
          <w:rFonts w:ascii="Times New Roman" w:hAnsi="Times New Roman"/>
          <w:sz w:val="20"/>
          <w:szCs w:val="20"/>
          <w:lang w:val="es-AR"/>
        </w:rPr>
      </w:pPr>
      <w:r>
        <w:rPr>
          <w:rFonts w:ascii="Times New Roman" w:hAnsi="Times New Roman"/>
          <w:sz w:val="20"/>
          <w:szCs w:val="20"/>
          <w:lang w:val="es-ES"/>
        </w:rPr>
        <w:t xml:space="preserve">MONEREO PÉREZ, J.L., </w:t>
      </w:r>
      <w:r>
        <w:rPr>
          <w:rFonts w:ascii="Times New Roman" w:hAnsi="Times New Roman"/>
          <w:i/>
          <w:sz w:val="20"/>
          <w:szCs w:val="20"/>
          <w:lang w:val="es-ES"/>
        </w:rPr>
        <w:t xml:space="preserve">Fundamentos doctrinales del Derecho social en España, </w:t>
      </w:r>
      <w:r>
        <w:rPr>
          <w:rFonts w:ascii="Times New Roman" w:hAnsi="Times New Roman"/>
          <w:sz w:val="20"/>
          <w:szCs w:val="20"/>
          <w:lang w:val="es-ES"/>
        </w:rPr>
        <w:t>Trotta, Madrid, 1997, pp. 79 y ss</w:t>
      </w:r>
    </w:p>
    <w:p w:rsidR="00000000" w:rsidRDefault="007B5A38">
      <w:pPr>
        <w:rPr>
          <w:rFonts w:ascii="Times New Roman" w:hAnsi="Times New Roman"/>
          <w:sz w:val="20"/>
          <w:szCs w:val="20"/>
        </w:rPr>
      </w:pPr>
      <w:r>
        <w:rPr>
          <w:rFonts w:ascii="Times New Roman" w:hAnsi="Times New Roman"/>
          <w:sz w:val="20"/>
          <w:szCs w:val="20"/>
        </w:rPr>
        <w:t xml:space="preserve">MORSINK, J., </w:t>
      </w:r>
      <w:r>
        <w:rPr>
          <w:rFonts w:ascii="Times New Roman" w:hAnsi="Times New Roman"/>
          <w:i/>
          <w:sz w:val="20"/>
          <w:szCs w:val="20"/>
        </w:rPr>
        <w:t>The Universal Declaration of Human Rights: ori</w:t>
      </w:r>
      <w:r>
        <w:rPr>
          <w:rFonts w:ascii="Times New Roman" w:hAnsi="Times New Roman"/>
          <w:i/>
          <w:sz w:val="20"/>
          <w:szCs w:val="20"/>
        </w:rPr>
        <w:t>gins, drafting and intent</w:t>
      </w:r>
      <w:r>
        <w:rPr>
          <w:rFonts w:ascii="Times New Roman" w:hAnsi="Times New Roman"/>
          <w:sz w:val="20"/>
          <w:szCs w:val="20"/>
        </w:rPr>
        <w:t>, University of Pennsylvania Press, Filadelfia, 2000</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NORIEGA, A., </w:t>
      </w:r>
      <w:r>
        <w:rPr>
          <w:rFonts w:ascii="Times New Roman" w:hAnsi="Times New Roman"/>
          <w:i/>
          <w:sz w:val="20"/>
          <w:szCs w:val="20"/>
          <w:lang w:val="es-AR"/>
        </w:rPr>
        <w:t>Los derechos sociales, creación de la Revolución de 1910 y la Constitución de 1917</w:t>
      </w:r>
      <w:r>
        <w:rPr>
          <w:rFonts w:ascii="Times New Roman" w:hAnsi="Times New Roman"/>
          <w:sz w:val="20"/>
          <w:szCs w:val="20"/>
          <w:lang w:val="es-AR"/>
        </w:rPr>
        <w:t>, UNAM, México, UNAM, 1988</w:t>
      </w:r>
    </w:p>
    <w:p w:rsidR="00000000" w:rsidRDefault="007B5A38">
      <w:pPr>
        <w:rPr>
          <w:rFonts w:ascii="Times New Roman" w:hAnsi="Times New Roman"/>
          <w:sz w:val="20"/>
          <w:szCs w:val="20"/>
        </w:rPr>
      </w:pPr>
      <w:r>
        <w:rPr>
          <w:rFonts w:ascii="Times New Roman" w:hAnsi="Times New Roman"/>
          <w:sz w:val="20"/>
          <w:szCs w:val="20"/>
        </w:rPr>
        <w:t xml:space="preserve">OLOWU, D., </w:t>
      </w:r>
      <w:r>
        <w:rPr>
          <w:rFonts w:ascii="Times New Roman" w:hAnsi="Times New Roman"/>
          <w:i/>
          <w:sz w:val="20"/>
          <w:szCs w:val="20"/>
        </w:rPr>
        <w:t xml:space="preserve">An integrative right-based approach to human </w:t>
      </w:r>
      <w:r>
        <w:rPr>
          <w:rFonts w:ascii="Times New Roman" w:hAnsi="Times New Roman"/>
          <w:i/>
          <w:sz w:val="20"/>
          <w:szCs w:val="20"/>
        </w:rPr>
        <w:t>development in Africa</w:t>
      </w:r>
      <w:r>
        <w:rPr>
          <w:rFonts w:ascii="Times New Roman" w:hAnsi="Times New Roman"/>
          <w:sz w:val="20"/>
          <w:szCs w:val="20"/>
        </w:rPr>
        <w:t>, Pretoria University Law Press, Pretoria, 2009</w:t>
      </w:r>
    </w:p>
    <w:p w:rsidR="00000000" w:rsidRDefault="007B5A38">
      <w:pPr>
        <w:rPr>
          <w:rFonts w:ascii="Times New Roman" w:hAnsi="Times New Roman"/>
          <w:sz w:val="20"/>
          <w:szCs w:val="20"/>
          <w:lang w:val="es-ES"/>
        </w:rPr>
      </w:pPr>
      <w:r>
        <w:rPr>
          <w:rFonts w:ascii="Times New Roman" w:hAnsi="Times New Roman"/>
          <w:sz w:val="20"/>
          <w:szCs w:val="20"/>
          <w:lang w:val="es-ES"/>
        </w:rPr>
        <w:t xml:space="preserve">PECES-BARBA, G., “Los derechos económicos, sociales y culturales: apunte para su formación histórica y concepto”, en  PECES-BARBA, G, </w:t>
      </w:r>
      <w:r>
        <w:rPr>
          <w:rFonts w:ascii="Times New Roman" w:hAnsi="Times New Roman"/>
          <w:i/>
          <w:sz w:val="20"/>
          <w:szCs w:val="20"/>
          <w:lang w:val="es-ES"/>
        </w:rPr>
        <w:t>Derechos sociales y positivismo jurídico (Escritos de</w:t>
      </w:r>
      <w:r>
        <w:rPr>
          <w:rFonts w:ascii="Times New Roman" w:hAnsi="Times New Roman"/>
          <w:i/>
          <w:sz w:val="20"/>
          <w:szCs w:val="20"/>
          <w:lang w:val="es-ES"/>
        </w:rPr>
        <w:t xml:space="preserve"> Filosofía Jurídica y Política)</w:t>
      </w:r>
      <w:r>
        <w:rPr>
          <w:rFonts w:ascii="Times New Roman" w:hAnsi="Times New Roman"/>
          <w:sz w:val="20"/>
          <w:szCs w:val="20"/>
          <w:lang w:val="es-ES"/>
        </w:rPr>
        <w:t>, Dykinson, Madrid, 1999, pp. 7-66</w:t>
      </w:r>
    </w:p>
    <w:p w:rsidR="00000000" w:rsidRDefault="007B5A38">
      <w:pPr>
        <w:rPr>
          <w:rFonts w:ascii="Times New Roman" w:hAnsi="Times New Roman"/>
          <w:sz w:val="20"/>
          <w:szCs w:val="20"/>
          <w:lang w:val="es-ES"/>
        </w:rPr>
      </w:pPr>
      <w:r>
        <w:rPr>
          <w:rFonts w:ascii="Times New Roman" w:hAnsi="Times New Roman"/>
          <w:sz w:val="20"/>
          <w:szCs w:val="20"/>
          <w:lang w:val="es-AR"/>
        </w:rPr>
        <w:t xml:space="preserve">PÉREZ, L. E., RODRÍGUEZ, C.  y  UPRIMNY, R., </w:t>
      </w:r>
      <w:r>
        <w:rPr>
          <w:rFonts w:ascii="Times New Roman" w:hAnsi="Times New Roman"/>
          <w:i/>
          <w:sz w:val="20"/>
          <w:szCs w:val="20"/>
          <w:lang w:val="es-AR"/>
        </w:rPr>
        <w:t>Los derechos sociales en serio: hacia un diálogo entre derechos y políticas públicas</w:t>
      </w:r>
      <w:r>
        <w:rPr>
          <w:rFonts w:ascii="Times New Roman" w:hAnsi="Times New Roman"/>
          <w:sz w:val="20"/>
          <w:szCs w:val="20"/>
          <w:lang w:val="es-AR"/>
        </w:rPr>
        <w:t>, Dejusticia-IDEP, Bogotá, 2007</w:t>
      </w:r>
    </w:p>
    <w:p w:rsidR="00000000" w:rsidRDefault="007B5A38">
      <w:pPr>
        <w:rPr>
          <w:rFonts w:ascii="Times New Roman" w:hAnsi="Times New Roman"/>
          <w:sz w:val="20"/>
          <w:szCs w:val="20"/>
          <w:lang w:val="es-ES"/>
        </w:rPr>
      </w:pPr>
      <w:r>
        <w:rPr>
          <w:rFonts w:ascii="Times New Roman" w:hAnsi="Times New Roman"/>
          <w:sz w:val="20"/>
          <w:szCs w:val="20"/>
          <w:lang w:val="es-ES"/>
        </w:rPr>
        <w:t>PÉREZ AYALA, A., “Los orígene</w:t>
      </w:r>
      <w:r>
        <w:rPr>
          <w:rFonts w:ascii="Times New Roman" w:hAnsi="Times New Roman"/>
          <w:sz w:val="20"/>
          <w:szCs w:val="20"/>
          <w:lang w:val="es-ES"/>
        </w:rPr>
        <w:t xml:space="preserve">s del constitucionalismo social. Una aproximación desde una perspectiva histórico-comparativa”, en GARCÍA HERRERA,  M.A. (dir.), </w:t>
      </w:r>
      <w:r>
        <w:rPr>
          <w:rFonts w:ascii="Times New Roman" w:hAnsi="Times New Roman"/>
          <w:i/>
          <w:sz w:val="20"/>
          <w:szCs w:val="20"/>
          <w:lang w:val="es-ES"/>
        </w:rPr>
        <w:t xml:space="preserve">El constitucionalismo social en la crisis del Estado social, </w:t>
      </w:r>
      <w:r>
        <w:rPr>
          <w:rFonts w:ascii="Times New Roman" w:hAnsi="Times New Roman"/>
          <w:sz w:val="20"/>
          <w:szCs w:val="20"/>
          <w:lang w:val="es-ES"/>
        </w:rPr>
        <w:t>Universidad del País Vasco, Bilbao, 1997</w:t>
      </w:r>
    </w:p>
    <w:p w:rsidR="00000000" w:rsidRDefault="007B5A38">
      <w:pPr>
        <w:rPr>
          <w:rFonts w:ascii="Times New Roman" w:hAnsi="Times New Roman"/>
          <w:sz w:val="20"/>
          <w:szCs w:val="20"/>
          <w:lang w:val="fr-CH"/>
        </w:rPr>
      </w:pPr>
      <w:r>
        <w:rPr>
          <w:rFonts w:ascii="Times New Roman" w:hAnsi="Times New Roman"/>
          <w:sz w:val="20"/>
          <w:szCs w:val="20"/>
          <w:lang w:val="es-ES"/>
        </w:rPr>
        <w:lastRenderedPageBreak/>
        <w:t>PÉREZ AYALA, A., “La larg</w:t>
      </w:r>
      <w:r>
        <w:rPr>
          <w:rFonts w:ascii="Times New Roman" w:hAnsi="Times New Roman"/>
          <w:sz w:val="20"/>
          <w:szCs w:val="20"/>
          <w:lang w:val="es-ES"/>
        </w:rPr>
        <w:t xml:space="preserve">a marcha constitucional de la República Popular China. El período de Mao Tse-tung”, en </w:t>
      </w:r>
      <w:r>
        <w:rPr>
          <w:rFonts w:ascii="Times New Roman" w:hAnsi="Times New Roman"/>
          <w:i/>
          <w:iCs/>
          <w:sz w:val="20"/>
          <w:szCs w:val="20"/>
          <w:lang w:val="es-AR"/>
        </w:rPr>
        <w:t xml:space="preserve">Revista de Estudios Políticos </w:t>
      </w:r>
      <w:r>
        <w:rPr>
          <w:rFonts w:ascii="Times New Roman" w:hAnsi="Times New Roman"/>
          <w:sz w:val="20"/>
          <w:szCs w:val="20"/>
          <w:lang w:val="es-AR"/>
        </w:rPr>
        <w:t xml:space="preserve">(nueva época),  Núm. 129, Madrid, julio-septiembre, 2005, págs. </w:t>
      </w:r>
      <w:r>
        <w:rPr>
          <w:rFonts w:ascii="Times New Roman" w:hAnsi="Times New Roman"/>
          <w:sz w:val="20"/>
          <w:szCs w:val="20"/>
          <w:lang w:val="fr-CH"/>
        </w:rPr>
        <w:t>39-87.</w:t>
      </w:r>
    </w:p>
    <w:p w:rsidR="00000000" w:rsidRDefault="007B5A38">
      <w:pPr>
        <w:rPr>
          <w:rFonts w:ascii="Times New Roman" w:hAnsi="Times New Roman"/>
          <w:sz w:val="20"/>
          <w:szCs w:val="20"/>
          <w:lang w:val="fr-CH"/>
        </w:rPr>
      </w:pPr>
      <w:r>
        <w:rPr>
          <w:rFonts w:ascii="Times New Roman" w:hAnsi="Times New Roman"/>
          <w:sz w:val="20"/>
          <w:szCs w:val="20"/>
          <w:lang w:val="fr-CH"/>
        </w:rPr>
        <w:t xml:space="preserve">PEZZINI, B. </w:t>
      </w:r>
      <w:r>
        <w:rPr>
          <w:rFonts w:ascii="Times New Roman" w:hAnsi="Times New Roman"/>
          <w:i/>
          <w:sz w:val="20"/>
          <w:szCs w:val="20"/>
          <w:lang w:val="fr-CH"/>
        </w:rPr>
        <w:t>La decisione sui diritti sociali. Indagine sulla struttu</w:t>
      </w:r>
      <w:r>
        <w:rPr>
          <w:rFonts w:ascii="Times New Roman" w:hAnsi="Times New Roman"/>
          <w:i/>
          <w:sz w:val="20"/>
          <w:szCs w:val="20"/>
          <w:lang w:val="fr-CH"/>
        </w:rPr>
        <w:t>ra costituzionale dei diritti sociali</w:t>
      </w:r>
      <w:r>
        <w:rPr>
          <w:rFonts w:ascii="Times New Roman" w:hAnsi="Times New Roman"/>
          <w:sz w:val="20"/>
          <w:szCs w:val="20"/>
          <w:lang w:val="fr-CH"/>
        </w:rPr>
        <w:t>, Giuffrè, Milán, 2001</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PILIA, R., </w:t>
      </w:r>
      <w:r>
        <w:rPr>
          <w:rFonts w:ascii="Times New Roman" w:hAnsi="Times New Roman"/>
          <w:i/>
          <w:sz w:val="20"/>
          <w:szCs w:val="20"/>
          <w:lang w:val="es-AR"/>
        </w:rPr>
        <w:t>I diritti sociali</w:t>
      </w:r>
      <w:r>
        <w:rPr>
          <w:rFonts w:ascii="Times New Roman" w:hAnsi="Times New Roman"/>
          <w:sz w:val="20"/>
          <w:szCs w:val="20"/>
          <w:lang w:val="es-AR"/>
        </w:rPr>
        <w:t>, Jovene, Nápoles, 2005</w:t>
      </w:r>
    </w:p>
    <w:p w:rsidR="00000000" w:rsidRDefault="007B5A38">
      <w:pPr>
        <w:rPr>
          <w:rFonts w:ascii="Times New Roman" w:hAnsi="Times New Roman"/>
          <w:sz w:val="20"/>
          <w:szCs w:val="20"/>
          <w:lang w:val="es-ES"/>
        </w:rPr>
      </w:pPr>
      <w:r>
        <w:rPr>
          <w:rFonts w:ascii="Times New Roman" w:hAnsi="Times New Roman"/>
          <w:sz w:val="20"/>
          <w:szCs w:val="20"/>
          <w:lang w:val="es-ES"/>
        </w:rPr>
        <w:t xml:space="preserve">PISARELLO, G., </w:t>
      </w:r>
      <w:r>
        <w:rPr>
          <w:rFonts w:ascii="Times New Roman" w:hAnsi="Times New Roman"/>
          <w:i/>
          <w:sz w:val="20"/>
          <w:szCs w:val="20"/>
          <w:lang w:val="es-ES"/>
        </w:rPr>
        <w:t>Los derechos sociales y sus garantías</w:t>
      </w:r>
      <w:r>
        <w:rPr>
          <w:rFonts w:ascii="Times New Roman" w:hAnsi="Times New Roman"/>
          <w:sz w:val="20"/>
          <w:szCs w:val="20"/>
          <w:lang w:val="es-ES"/>
        </w:rPr>
        <w:t>, Trotta, Madrid, 2007.</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PISARELLO, G., </w:t>
      </w:r>
      <w:r>
        <w:rPr>
          <w:rFonts w:ascii="Times New Roman" w:hAnsi="Times New Roman"/>
          <w:i/>
          <w:sz w:val="20"/>
          <w:szCs w:val="20"/>
          <w:lang w:val="es-AR"/>
        </w:rPr>
        <w:t>Un largo Termidor. La ofensiva del constitucionalismo</w:t>
      </w:r>
      <w:r>
        <w:rPr>
          <w:rFonts w:ascii="Times New Roman" w:hAnsi="Times New Roman"/>
          <w:i/>
          <w:sz w:val="20"/>
          <w:szCs w:val="20"/>
          <w:lang w:val="es-AR"/>
        </w:rPr>
        <w:t xml:space="preserve"> antidemocrático</w:t>
      </w:r>
      <w:r>
        <w:rPr>
          <w:rFonts w:ascii="Times New Roman" w:hAnsi="Times New Roman"/>
          <w:sz w:val="20"/>
          <w:szCs w:val="20"/>
          <w:lang w:val="es-AR"/>
        </w:rPr>
        <w:t xml:space="preserve">, Trotta, Madrid, 2011 </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PIZZOLATO, F., </w:t>
      </w:r>
      <w:r>
        <w:rPr>
          <w:rFonts w:ascii="Times New Roman" w:hAnsi="Times New Roman"/>
          <w:i/>
          <w:sz w:val="20"/>
          <w:szCs w:val="20"/>
          <w:lang w:val="es-AR"/>
        </w:rPr>
        <w:t>Finalismo dello Stato e sistema dei diritti nella Costituzione italiana</w:t>
      </w:r>
      <w:r>
        <w:rPr>
          <w:rFonts w:ascii="Times New Roman" w:hAnsi="Times New Roman"/>
          <w:sz w:val="20"/>
          <w:szCs w:val="20"/>
          <w:lang w:val="es-AR"/>
        </w:rPr>
        <w:t>,  Vita e Pensiero, Milán, 1999</w:t>
      </w:r>
    </w:p>
    <w:p w:rsidR="00000000" w:rsidRDefault="007B5A38">
      <w:pPr>
        <w:rPr>
          <w:rFonts w:ascii="Times New Roman" w:hAnsi="Times New Roman"/>
          <w:sz w:val="20"/>
          <w:szCs w:val="20"/>
          <w:lang w:val="es-AR"/>
        </w:rPr>
      </w:pPr>
      <w:r>
        <w:rPr>
          <w:rFonts w:ascii="Times New Roman" w:hAnsi="Times New Roman"/>
          <w:sz w:val="20"/>
          <w:szCs w:val="20"/>
          <w:lang w:val="es-ES"/>
        </w:rPr>
        <w:t xml:space="preserve">PRIETO SANCHIS, L, </w:t>
      </w:r>
      <w:r>
        <w:rPr>
          <w:rFonts w:ascii="Times New Roman" w:hAnsi="Times New Roman"/>
          <w:i/>
          <w:sz w:val="20"/>
          <w:szCs w:val="20"/>
          <w:lang w:val="es-ES"/>
        </w:rPr>
        <w:t>Ley, principios, derechos</w:t>
      </w:r>
      <w:r>
        <w:rPr>
          <w:rFonts w:ascii="Times New Roman" w:hAnsi="Times New Roman"/>
          <w:sz w:val="20"/>
          <w:szCs w:val="20"/>
          <w:lang w:val="es-ES"/>
        </w:rPr>
        <w:t>, Dykinson, Madrid, 1998</w:t>
      </w:r>
    </w:p>
    <w:p w:rsidR="00000000" w:rsidRDefault="007B5A38">
      <w:pPr>
        <w:rPr>
          <w:rFonts w:ascii="Times New Roman" w:hAnsi="Times New Roman"/>
          <w:sz w:val="20"/>
          <w:szCs w:val="20"/>
          <w:lang w:val="es-AR"/>
        </w:rPr>
      </w:pPr>
      <w:r>
        <w:rPr>
          <w:rFonts w:ascii="Times New Roman" w:hAnsi="Times New Roman"/>
          <w:sz w:val="20"/>
          <w:szCs w:val="20"/>
          <w:lang w:val="es-AR"/>
        </w:rPr>
        <w:t>QUINTERO, C., “El Dr. Ricardo</w:t>
      </w:r>
      <w:r>
        <w:rPr>
          <w:rFonts w:ascii="Times New Roman" w:hAnsi="Times New Roman"/>
          <w:sz w:val="20"/>
          <w:szCs w:val="20"/>
          <w:lang w:val="es-AR"/>
        </w:rPr>
        <w:t xml:space="preserve"> J. Alfaro y los derechos humanos” en Revista Lotería No. 317, Impresora Panamá, Panamá, agosto, 1982, pp. 139-162</w:t>
      </w:r>
    </w:p>
    <w:p w:rsidR="00000000" w:rsidRDefault="007B5A38">
      <w:pPr>
        <w:rPr>
          <w:rFonts w:ascii="Times New Roman" w:hAnsi="Times New Roman"/>
          <w:sz w:val="20"/>
          <w:szCs w:val="20"/>
          <w:lang w:val="fr-CH"/>
        </w:rPr>
      </w:pPr>
      <w:r>
        <w:rPr>
          <w:rFonts w:ascii="Times New Roman" w:hAnsi="Times New Roman"/>
          <w:sz w:val="20"/>
          <w:szCs w:val="20"/>
          <w:lang w:val="fr-CH"/>
        </w:rPr>
        <w:t xml:space="preserve">RANGEON, F., “Droits-libertés et droits-créances : les contradictions du Préambule de la Constitution de 1946”, en AA.VV., </w:t>
      </w:r>
      <w:r>
        <w:rPr>
          <w:rFonts w:ascii="Times New Roman" w:hAnsi="Times New Roman"/>
          <w:i/>
          <w:sz w:val="20"/>
          <w:szCs w:val="20"/>
          <w:lang w:val="fr-CH"/>
        </w:rPr>
        <w:t>Le préambule de la</w:t>
      </w:r>
      <w:r>
        <w:rPr>
          <w:rFonts w:ascii="Times New Roman" w:hAnsi="Times New Roman"/>
          <w:i/>
          <w:sz w:val="20"/>
          <w:szCs w:val="20"/>
          <w:lang w:val="fr-CH"/>
        </w:rPr>
        <w:t xml:space="preserve"> Constitution de 1946. Antinomies juridiques et contradictions politiques</w:t>
      </w:r>
      <w:r>
        <w:rPr>
          <w:rFonts w:ascii="Times New Roman" w:hAnsi="Times New Roman"/>
          <w:sz w:val="20"/>
          <w:szCs w:val="20"/>
          <w:lang w:val="fr-CH"/>
        </w:rPr>
        <w:t xml:space="preserve">, </w:t>
      </w:r>
      <w:r>
        <w:rPr>
          <w:rStyle w:val="nfasis"/>
          <w:rFonts w:ascii="Times New Roman" w:hAnsi="Times New Roman"/>
          <w:bCs/>
          <w:i w:val="0"/>
          <w:iCs w:val="0"/>
          <w:color w:val="000000"/>
          <w:sz w:val="20"/>
          <w:szCs w:val="20"/>
          <w:shd w:val="clear" w:color="auto" w:fill="FFFFFF"/>
          <w:lang w:val="fr-CH"/>
        </w:rPr>
        <w:t>Presses Universitaires de France,</w:t>
      </w:r>
      <w:r>
        <w:rPr>
          <w:rStyle w:val="nfasis"/>
          <w:rFonts w:ascii="Arial" w:hAnsi="Arial" w:cs="Arial"/>
          <w:b/>
          <w:bCs/>
          <w:i w:val="0"/>
          <w:iCs w:val="0"/>
          <w:color w:val="000000"/>
          <w:sz w:val="20"/>
          <w:szCs w:val="20"/>
          <w:shd w:val="clear" w:color="auto" w:fill="FFFFFF"/>
          <w:lang w:val="fr-CH"/>
        </w:rPr>
        <w:t xml:space="preserve"> </w:t>
      </w:r>
      <w:r>
        <w:rPr>
          <w:rFonts w:ascii="Times New Roman" w:hAnsi="Times New Roman"/>
          <w:sz w:val="20"/>
          <w:szCs w:val="20"/>
          <w:lang w:val="fr-CH"/>
        </w:rPr>
        <w:t>París, 1996, pp. 169-186.</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RIBEIRO LEAO, R. Z., </w:t>
      </w:r>
      <w:r>
        <w:rPr>
          <w:rFonts w:ascii="Times New Roman" w:hAnsi="Times New Roman"/>
          <w:i/>
          <w:sz w:val="20"/>
          <w:szCs w:val="20"/>
          <w:lang w:val="es-AR"/>
        </w:rPr>
        <w:t>La construcción jurisprudencial de los Sistemas Europea e Interamericano de Protección de los Derech</w:t>
      </w:r>
      <w:r>
        <w:rPr>
          <w:rFonts w:ascii="Times New Roman" w:hAnsi="Times New Roman"/>
          <w:i/>
          <w:sz w:val="20"/>
          <w:szCs w:val="20"/>
          <w:lang w:val="es-AR"/>
        </w:rPr>
        <w:t>os Humanos en materia de derechos económicos, sociales y culturales</w:t>
      </w:r>
      <w:r>
        <w:rPr>
          <w:rFonts w:ascii="Times New Roman" w:hAnsi="Times New Roman"/>
          <w:sz w:val="20"/>
          <w:szCs w:val="20"/>
          <w:lang w:val="es-AR"/>
        </w:rPr>
        <w:t>, Nuria Fabris, Porto Alegre, 2009</w:t>
      </w:r>
    </w:p>
    <w:p w:rsidR="00000000" w:rsidRDefault="007B5A38">
      <w:pPr>
        <w:rPr>
          <w:rFonts w:ascii="Times New Roman" w:hAnsi="Times New Roman"/>
          <w:sz w:val="20"/>
          <w:szCs w:val="20"/>
          <w:lang w:val="es-AR"/>
        </w:rPr>
      </w:pPr>
      <w:r>
        <w:rPr>
          <w:rFonts w:ascii="Times New Roman" w:hAnsi="Times New Roman"/>
          <w:sz w:val="20"/>
          <w:szCs w:val="20"/>
          <w:lang w:val="es-AR"/>
        </w:rPr>
        <w:t>RICORD, H., “La destacada labor de Ricardo J. Alfaro en materia de derechos humanos”, en Revista Lotería, No. 317, Impresora Panamá, Panamá, agosto, 1982,</w:t>
      </w:r>
      <w:r>
        <w:rPr>
          <w:rFonts w:ascii="Times New Roman" w:hAnsi="Times New Roman"/>
          <w:sz w:val="20"/>
          <w:szCs w:val="20"/>
          <w:lang w:val="es-AR"/>
        </w:rPr>
        <w:t xml:space="preserve"> pp. 133-138</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RICORD, H., </w:t>
      </w:r>
      <w:r>
        <w:rPr>
          <w:rFonts w:ascii="Times New Roman" w:hAnsi="Times New Roman"/>
          <w:i/>
          <w:sz w:val="20"/>
          <w:szCs w:val="20"/>
          <w:lang w:val="es-AR"/>
        </w:rPr>
        <w:t>Las constituciones panameñas del siglo XX</w:t>
      </w:r>
      <w:r>
        <w:rPr>
          <w:rFonts w:ascii="Times New Roman" w:hAnsi="Times New Roman"/>
          <w:sz w:val="20"/>
          <w:szCs w:val="20"/>
          <w:lang w:val="es-AR"/>
        </w:rPr>
        <w:t>, Editora Pérez y Pérez, Panamá, 1987</w:t>
      </w:r>
    </w:p>
    <w:p w:rsidR="00000000" w:rsidRDefault="007B5A38">
      <w:pPr>
        <w:rPr>
          <w:rFonts w:ascii="Times New Roman" w:hAnsi="Times New Roman"/>
          <w:sz w:val="20"/>
          <w:szCs w:val="20"/>
          <w:lang w:val="es-AR"/>
        </w:rPr>
      </w:pPr>
      <w:r>
        <w:rPr>
          <w:rFonts w:ascii="Times New Roman" w:hAnsi="Times New Roman"/>
          <w:sz w:val="20"/>
          <w:szCs w:val="20"/>
          <w:lang w:val="es-AR"/>
        </w:rPr>
        <w:t>RICORD, H., “Constitución, democracia y autocracia en Panamá durante el siglo XX”, en</w:t>
      </w:r>
      <w:r>
        <w:rPr>
          <w:rFonts w:ascii="Times New Roman" w:hAnsi="Times New Roman"/>
          <w:b/>
          <w:bCs/>
          <w:sz w:val="20"/>
          <w:szCs w:val="20"/>
          <w:lang w:val="es-AR"/>
        </w:rPr>
        <w:t xml:space="preserve"> </w:t>
      </w:r>
      <w:r>
        <w:rPr>
          <w:rFonts w:ascii="Times New Roman" w:hAnsi="Times New Roman"/>
          <w:bCs/>
          <w:i/>
          <w:sz w:val="20"/>
          <w:szCs w:val="20"/>
          <w:lang w:val="es-AR"/>
        </w:rPr>
        <w:t>Memoria del III Congreso Iberoamericano de Derecho Constitucional</w:t>
      </w:r>
      <w:r>
        <w:rPr>
          <w:rFonts w:ascii="Times New Roman" w:hAnsi="Times New Roman"/>
          <w:bCs/>
          <w:sz w:val="20"/>
          <w:szCs w:val="20"/>
          <w:lang w:val="es-AR"/>
        </w:rPr>
        <w:t>,</w:t>
      </w:r>
      <w:r>
        <w:rPr>
          <w:rFonts w:ascii="Times New Roman" w:hAnsi="Times New Roman"/>
          <w:sz w:val="20"/>
          <w:szCs w:val="20"/>
          <w:lang w:val="es-AR"/>
        </w:rPr>
        <w:t xml:space="preserve"> Instituto de Investigaciones Jurídicas de la UNAM, México, 1987, pp. 367-388</w:t>
      </w:r>
    </w:p>
    <w:p w:rsidR="00000000" w:rsidRDefault="007B5A38">
      <w:pPr>
        <w:rPr>
          <w:rFonts w:ascii="Times New Roman" w:hAnsi="Times New Roman"/>
          <w:sz w:val="20"/>
          <w:szCs w:val="20"/>
          <w:lang w:val="fr-CH"/>
        </w:rPr>
      </w:pPr>
      <w:r>
        <w:rPr>
          <w:rFonts w:ascii="Times New Roman" w:hAnsi="Times New Roman"/>
          <w:sz w:val="20"/>
          <w:szCs w:val="20"/>
          <w:lang w:val="fr-CH"/>
        </w:rPr>
        <w:t xml:space="preserve">RIVERO, J y VEDEL, G., “Les principes économiques et sociaux de la Constitution: le Préambule”, en </w:t>
      </w:r>
      <w:r>
        <w:rPr>
          <w:rFonts w:ascii="Times New Roman" w:hAnsi="Times New Roman"/>
          <w:i/>
          <w:iCs/>
          <w:sz w:val="20"/>
          <w:szCs w:val="20"/>
          <w:lang w:val="fr-CH"/>
        </w:rPr>
        <w:t xml:space="preserve">Droit </w:t>
      </w:r>
      <w:r>
        <w:rPr>
          <w:rFonts w:ascii="Times New Roman" w:hAnsi="Times New Roman"/>
          <w:iCs/>
          <w:sz w:val="20"/>
          <w:szCs w:val="20"/>
          <w:lang w:val="fr-CH"/>
        </w:rPr>
        <w:t>social, vol. 31</w:t>
      </w:r>
      <w:r>
        <w:rPr>
          <w:rFonts w:ascii="Times New Roman" w:hAnsi="Times New Roman"/>
          <w:i/>
          <w:iCs/>
          <w:sz w:val="20"/>
          <w:szCs w:val="20"/>
          <w:lang w:val="fr-CH"/>
        </w:rPr>
        <w:t xml:space="preserve">, </w:t>
      </w:r>
      <w:r>
        <w:rPr>
          <w:rFonts w:ascii="Times New Roman" w:hAnsi="Times New Roman"/>
          <w:sz w:val="20"/>
          <w:szCs w:val="20"/>
          <w:lang w:val="fr-CH"/>
        </w:rPr>
        <w:t>1947,  pp. 13 y ss.</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RODRÍGUEZ, E., </w:t>
      </w:r>
      <w:r>
        <w:rPr>
          <w:rFonts w:ascii="Times New Roman" w:hAnsi="Times New Roman"/>
          <w:i/>
          <w:sz w:val="20"/>
          <w:szCs w:val="20"/>
          <w:lang w:val="es-AR"/>
        </w:rPr>
        <w:t>Voces del 43</w:t>
      </w:r>
      <w:r>
        <w:rPr>
          <w:rFonts w:ascii="Times New Roman" w:hAnsi="Times New Roman"/>
          <w:sz w:val="20"/>
          <w:szCs w:val="20"/>
          <w:lang w:val="es-AR"/>
        </w:rPr>
        <w:t>, Editori</w:t>
      </w:r>
      <w:r>
        <w:rPr>
          <w:rFonts w:ascii="Times New Roman" w:hAnsi="Times New Roman"/>
          <w:sz w:val="20"/>
          <w:szCs w:val="20"/>
          <w:lang w:val="es-AR"/>
        </w:rPr>
        <w:t>al de la Universidad de Costa Rica, San José, 1995</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ROUAIX, P., </w:t>
      </w:r>
      <w:r>
        <w:rPr>
          <w:rFonts w:ascii="Times New Roman" w:hAnsi="Times New Roman"/>
          <w:i/>
          <w:sz w:val="20"/>
          <w:szCs w:val="20"/>
          <w:lang w:val="es-AR"/>
        </w:rPr>
        <w:t>Génesis de los artículos 27 y 123 de la Constitución Política de 1917</w:t>
      </w:r>
      <w:r>
        <w:rPr>
          <w:rFonts w:ascii="Times New Roman" w:hAnsi="Times New Roman"/>
          <w:sz w:val="20"/>
          <w:szCs w:val="20"/>
          <w:lang w:val="es-AR"/>
        </w:rPr>
        <w:t>, 2da. ed., Biblioteca del Instituto Nacional de Estudios Históricos sobre la Revolución Mexicana,  México, Puebla, 1959</w:t>
      </w:r>
    </w:p>
    <w:p w:rsidR="00000000" w:rsidRDefault="007B5A38">
      <w:pPr>
        <w:rPr>
          <w:rFonts w:ascii="Times New Roman" w:hAnsi="Times New Roman"/>
          <w:sz w:val="20"/>
          <w:szCs w:val="20"/>
        </w:rPr>
      </w:pPr>
      <w:r>
        <w:rPr>
          <w:rFonts w:ascii="Times New Roman" w:hAnsi="Times New Roman"/>
          <w:sz w:val="20"/>
          <w:szCs w:val="20"/>
        </w:rPr>
        <w:t>SAD</w:t>
      </w:r>
      <w:r>
        <w:rPr>
          <w:rFonts w:ascii="Times New Roman" w:hAnsi="Times New Roman"/>
          <w:sz w:val="20"/>
          <w:szCs w:val="20"/>
        </w:rPr>
        <w:t xml:space="preserve">URSKI, W., </w:t>
      </w:r>
      <w:r>
        <w:rPr>
          <w:rFonts w:ascii="Times New Roman" w:hAnsi="Times New Roman"/>
          <w:i/>
          <w:sz w:val="20"/>
          <w:szCs w:val="20"/>
        </w:rPr>
        <w:t>Rights Before Courts: A Study of Constitutional Courts in Postcommunist States of Central and Eastern Europe</w:t>
      </w:r>
      <w:r>
        <w:rPr>
          <w:rFonts w:ascii="Times New Roman" w:hAnsi="Times New Roman"/>
          <w:sz w:val="20"/>
          <w:szCs w:val="20"/>
        </w:rPr>
        <w:t>, Springer, Dordrecht, 2005</w:t>
      </w:r>
    </w:p>
    <w:p w:rsidR="00000000" w:rsidRDefault="007B5A38">
      <w:pPr>
        <w:rPr>
          <w:rFonts w:ascii="Times New Roman" w:hAnsi="Times New Roman"/>
          <w:sz w:val="20"/>
          <w:szCs w:val="20"/>
          <w:lang w:val="es-ES"/>
        </w:rPr>
      </w:pPr>
      <w:r>
        <w:rPr>
          <w:rFonts w:ascii="Times New Roman" w:hAnsi="Times New Roman"/>
          <w:sz w:val="20"/>
          <w:szCs w:val="20"/>
          <w:lang w:val="es-AR"/>
        </w:rPr>
        <w:t xml:space="preserve">SALAZAR, C.  </w:t>
      </w:r>
      <w:r>
        <w:rPr>
          <w:rFonts w:ascii="Times New Roman" w:hAnsi="Times New Roman"/>
          <w:i/>
          <w:sz w:val="20"/>
          <w:szCs w:val="20"/>
          <w:lang w:val="es-AR"/>
        </w:rPr>
        <w:t>Dal riconoscimento alla garanzia dei diritti sociali. Orientamenti e tecniche decisorie della Co</w:t>
      </w:r>
      <w:r>
        <w:rPr>
          <w:rFonts w:ascii="Times New Roman" w:hAnsi="Times New Roman"/>
          <w:i/>
          <w:sz w:val="20"/>
          <w:szCs w:val="20"/>
          <w:lang w:val="es-AR"/>
        </w:rPr>
        <w:t>rte costituzionale a confronto</w:t>
      </w:r>
      <w:r>
        <w:rPr>
          <w:rFonts w:ascii="Times New Roman" w:hAnsi="Times New Roman"/>
          <w:sz w:val="20"/>
          <w:szCs w:val="20"/>
          <w:lang w:val="es-AR"/>
        </w:rPr>
        <w:t>, Giappichelli, Turín, 2000</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SAMPAY, A. E., </w:t>
      </w:r>
      <w:r>
        <w:rPr>
          <w:rFonts w:ascii="Times New Roman" w:hAnsi="Times New Roman"/>
          <w:i/>
          <w:iCs/>
          <w:sz w:val="20"/>
          <w:szCs w:val="20"/>
          <w:lang w:val="es-AR"/>
        </w:rPr>
        <w:t>La Constitución argentina de 1949,</w:t>
      </w:r>
      <w:r>
        <w:rPr>
          <w:rFonts w:ascii="Times New Roman" w:hAnsi="Times New Roman"/>
          <w:iCs/>
          <w:sz w:val="20"/>
          <w:szCs w:val="20"/>
          <w:lang w:val="es-AR"/>
        </w:rPr>
        <w:t xml:space="preserve"> Relevo, Buenos Aires, 1963</w:t>
      </w:r>
    </w:p>
    <w:p w:rsidR="00000000" w:rsidRDefault="007B5A38">
      <w:pPr>
        <w:rPr>
          <w:rFonts w:ascii="Times New Roman" w:hAnsi="Times New Roman"/>
          <w:sz w:val="20"/>
          <w:szCs w:val="20"/>
          <w:lang w:val="es-AR"/>
        </w:rPr>
      </w:pPr>
      <w:r>
        <w:rPr>
          <w:rFonts w:ascii="Times New Roman" w:hAnsi="Times New Roman"/>
          <w:sz w:val="20"/>
          <w:szCs w:val="20"/>
          <w:lang w:val="es-AR"/>
        </w:rPr>
        <w:t>SARLET, I. W. y TIMM, L. B. (orgs.), </w:t>
      </w:r>
      <w:r>
        <w:rPr>
          <w:rFonts w:ascii="Times New Roman" w:hAnsi="Times New Roman"/>
          <w:i/>
          <w:iCs/>
          <w:sz w:val="20"/>
          <w:szCs w:val="20"/>
          <w:lang w:val="es-AR"/>
        </w:rPr>
        <w:t>Direitos fundamentais:</w:t>
      </w:r>
      <w:r>
        <w:rPr>
          <w:rFonts w:ascii="Times New Roman" w:hAnsi="Times New Roman"/>
          <w:i/>
          <w:sz w:val="20"/>
          <w:szCs w:val="20"/>
          <w:lang w:val="es-AR"/>
        </w:rPr>
        <w:t> orçamento e reserva do possível</w:t>
      </w:r>
      <w:r>
        <w:rPr>
          <w:rFonts w:ascii="Times New Roman" w:hAnsi="Times New Roman"/>
          <w:sz w:val="20"/>
          <w:szCs w:val="20"/>
          <w:lang w:val="es-AR"/>
        </w:rPr>
        <w:t xml:space="preserve">, Livraria do Advogado, Porto </w:t>
      </w:r>
      <w:r>
        <w:rPr>
          <w:rFonts w:ascii="Times New Roman" w:hAnsi="Times New Roman"/>
          <w:sz w:val="20"/>
          <w:szCs w:val="20"/>
          <w:lang w:val="es-AR"/>
        </w:rPr>
        <w:t>Alegre, 2008</w:t>
      </w:r>
    </w:p>
    <w:p w:rsidR="00000000" w:rsidRDefault="007B5A38">
      <w:pPr>
        <w:rPr>
          <w:rFonts w:ascii="Times New Roman" w:hAnsi="Times New Roman"/>
          <w:sz w:val="20"/>
          <w:szCs w:val="20"/>
        </w:rPr>
      </w:pPr>
      <w:r>
        <w:rPr>
          <w:rFonts w:ascii="Times New Roman" w:hAnsi="Times New Roman"/>
          <w:sz w:val="20"/>
          <w:szCs w:val="20"/>
        </w:rPr>
        <w:lastRenderedPageBreak/>
        <w:t xml:space="preserve">SEPULVEDA, M., </w:t>
      </w:r>
      <w:r>
        <w:rPr>
          <w:rFonts w:ascii="Times New Roman" w:hAnsi="Times New Roman"/>
          <w:i/>
          <w:sz w:val="20"/>
          <w:szCs w:val="20"/>
        </w:rPr>
        <w:t>The Nature of the Obligations under the International Covenant on Economic, Social and Cultural Rights</w:t>
      </w:r>
      <w:r>
        <w:rPr>
          <w:rFonts w:ascii="Times New Roman" w:hAnsi="Times New Roman"/>
          <w:sz w:val="20"/>
          <w:szCs w:val="20"/>
        </w:rPr>
        <w:t>, Intersentia, Amberes, 2003.</w:t>
      </w:r>
    </w:p>
    <w:p w:rsidR="00000000" w:rsidRDefault="007B5A38">
      <w:pPr>
        <w:rPr>
          <w:rFonts w:ascii="Times New Roman" w:hAnsi="Times New Roman"/>
          <w:sz w:val="20"/>
          <w:szCs w:val="20"/>
          <w:lang w:val="es-ES"/>
        </w:rPr>
      </w:pPr>
      <w:r>
        <w:rPr>
          <w:rFonts w:ascii="Times New Roman" w:hAnsi="Times New Roman"/>
          <w:sz w:val="20"/>
          <w:szCs w:val="20"/>
          <w:lang w:val="es-AR"/>
        </w:rPr>
        <w:t>SOUZA NETO, C. P. y SARMENTO, D. (orgs.),</w:t>
      </w:r>
      <w:r>
        <w:rPr>
          <w:rFonts w:ascii="Times New Roman" w:hAnsi="Times New Roman"/>
          <w:i/>
          <w:sz w:val="20"/>
          <w:szCs w:val="20"/>
          <w:lang w:val="es-AR"/>
        </w:rPr>
        <w:t> </w:t>
      </w:r>
      <w:r>
        <w:rPr>
          <w:rFonts w:ascii="Times New Roman" w:hAnsi="Times New Roman"/>
          <w:bCs/>
          <w:i/>
          <w:sz w:val="20"/>
          <w:szCs w:val="20"/>
          <w:lang w:val="es-AR"/>
        </w:rPr>
        <w:t xml:space="preserve">Direitos Sociais: </w:t>
      </w:r>
      <w:r>
        <w:rPr>
          <w:rFonts w:ascii="Times New Roman" w:hAnsi="Times New Roman"/>
          <w:i/>
          <w:sz w:val="20"/>
          <w:szCs w:val="20"/>
          <w:lang w:val="es-AR"/>
        </w:rPr>
        <w:t>fundamentos, judicialização e direit</w:t>
      </w:r>
      <w:r>
        <w:rPr>
          <w:rFonts w:ascii="Times New Roman" w:hAnsi="Times New Roman"/>
          <w:i/>
          <w:sz w:val="20"/>
          <w:szCs w:val="20"/>
          <w:lang w:val="es-AR"/>
        </w:rPr>
        <w:t>os sociais em espécie</w:t>
      </w:r>
      <w:r>
        <w:rPr>
          <w:rFonts w:ascii="Times New Roman" w:hAnsi="Times New Roman"/>
          <w:sz w:val="20"/>
          <w:szCs w:val="20"/>
          <w:lang w:val="es-AR"/>
        </w:rPr>
        <w:t>, Lumen Juris, Río de Janeiro, 2008 </w:t>
      </w:r>
    </w:p>
    <w:p w:rsidR="00000000" w:rsidRDefault="007B5A38">
      <w:pPr>
        <w:rPr>
          <w:rFonts w:ascii="Times New Roman" w:hAnsi="Times New Roman"/>
          <w:sz w:val="20"/>
          <w:szCs w:val="20"/>
          <w:lang w:val="es-ES"/>
        </w:rPr>
      </w:pPr>
      <w:r>
        <w:rPr>
          <w:rFonts w:ascii="Times New Roman" w:hAnsi="Times New Roman"/>
          <w:sz w:val="20"/>
          <w:szCs w:val="20"/>
          <w:lang w:val="es-ES"/>
        </w:rPr>
        <w:t xml:space="preserve">TAJADURA, J. (dir.), </w:t>
      </w:r>
      <w:r>
        <w:rPr>
          <w:rFonts w:ascii="Times New Roman" w:hAnsi="Times New Roman"/>
          <w:i/>
          <w:sz w:val="20"/>
          <w:szCs w:val="20"/>
          <w:lang w:val="es-ES"/>
        </w:rPr>
        <w:t xml:space="preserve">Los principios rectores de la política económica y social, </w:t>
      </w:r>
      <w:r>
        <w:rPr>
          <w:rFonts w:ascii="Times New Roman" w:hAnsi="Times New Roman"/>
          <w:sz w:val="20"/>
          <w:szCs w:val="20"/>
          <w:lang w:val="es-ES"/>
        </w:rPr>
        <w:t>J. Tajadura (dir.), Biblioteca Nueva, Madrid, 2004</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TIRADO MEJÍA, A. y VELÁSQUEZ, M., </w:t>
      </w:r>
      <w:r>
        <w:rPr>
          <w:rFonts w:ascii="Times New Roman" w:hAnsi="Times New Roman"/>
          <w:i/>
          <w:iCs/>
          <w:sz w:val="20"/>
          <w:szCs w:val="20"/>
          <w:lang w:val="es-AR"/>
        </w:rPr>
        <w:t>La reforma constitucional de 1936</w:t>
      </w:r>
      <w:r>
        <w:rPr>
          <w:rFonts w:ascii="Times New Roman" w:hAnsi="Times New Roman"/>
          <w:iCs/>
          <w:sz w:val="20"/>
          <w:szCs w:val="20"/>
          <w:lang w:val="es-AR"/>
        </w:rPr>
        <w:t>,</w:t>
      </w:r>
      <w:r>
        <w:rPr>
          <w:rFonts w:ascii="Times New Roman" w:hAnsi="Times New Roman"/>
          <w:sz w:val="20"/>
          <w:szCs w:val="20"/>
          <w:lang w:val="es-AR"/>
        </w:rPr>
        <w:t>Fundación Friederich Naumann/ Oveja Negra, Bogotá 1982</w:t>
      </w:r>
    </w:p>
    <w:p w:rsidR="00000000" w:rsidRDefault="007B5A38">
      <w:pPr>
        <w:rPr>
          <w:rFonts w:ascii="Times New Roman" w:hAnsi="Times New Roman"/>
          <w:sz w:val="20"/>
          <w:szCs w:val="20"/>
        </w:rPr>
      </w:pPr>
      <w:r>
        <w:rPr>
          <w:rFonts w:ascii="Times New Roman" w:hAnsi="Times New Roman"/>
          <w:sz w:val="20"/>
          <w:szCs w:val="20"/>
        </w:rPr>
        <w:t xml:space="preserve">TRACTENBERG, P. L., “Education”, en TARR, G. A. y WILLIAMS, R. F. (eds.),  </w:t>
      </w:r>
      <w:r>
        <w:rPr>
          <w:rFonts w:ascii="Times New Roman" w:hAnsi="Times New Roman"/>
          <w:i/>
          <w:sz w:val="20"/>
          <w:szCs w:val="20"/>
        </w:rPr>
        <w:t>State Constitutions for the Twenty-First Century, Volume 3: The Agenda of State Constitutional Reform</w:t>
      </w:r>
      <w:r>
        <w:rPr>
          <w:rFonts w:ascii="Times New Roman" w:hAnsi="Times New Roman"/>
          <w:sz w:val="20"/>
          <w:szCs w:val="20"/>
        </w:rPr>
        <w:t>, SUNY Press, Albany, 20</w:t>
      </w:r>
      <w:r>
        <w:rPr>
          <w:rFonts w:ascii="Times New Roman" w:hAnsi="Times New Roman"/>
          <w:sz w:val="20"/>
          <w:szCs w:val="20"/>
        </w:rPr>
        <w:t>06, pp. 241-305</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TRUEBA URBINA, A., </w:t>
      </w:r>
      <w:r>
        <w:rPr>
          <w:rFonts w:ascii="Times New Roman" w:hAnsi="Times New Roman"/>
          <w:i/>
          <w:sz w:val="20"/>
          <w:szCs w:val="20"/>
          <w:lang w:val="es-AR"/>
        </w:rPr>
        <w:t>El nuevo artículo 123</w:t>
      </w:r>
      <w:r>
        <w:rPr>
          <w:rFonts w:ascii="Times New Roman" w:hAnsi="Times New Roman"/>
          <w:sz w:val="20"/>
          <w:szCs w:val="20"/>
          <w:lang w:val="es-AR"/>
        </w:rPr>
        <w:t>, Porrúa, México, 1962</w:t>
      </w:r>
    </w:p>
    <w:p w:rsidR="00000000" w:rsidRDefault="007B5A38">
      <w:pPr>
        <w:rPr>
          <w:rFonts w:ascii="Times New Roman" w:hAnsi="Times New Roman"/>
          <w:sz w:val="20"/>
          <w:szCs w:val="20"/>
          <w:lang w:val="es-AR"/>
        </w:rPr>
      </w:pPr>
      <w:r>
        <w:rPr>
          <w:rFonts w:ascii="Times New Roman" w:hAnsi="Times New Roman"/>
          <w:sz w:val="20"/>
          <w:szCs w:val="20"/>
          <w:lang w:val="es-AR"/>
        </w:rPr>
        <w:t xml:space="preserve">TRUEBA URBINA, A., </w:t>
      </w:r>
      <w:r>
        <w:rPr>
          <w:rFonts w:ascii="Times New Roman" w:hAnsi="Times New Roman"/>
          <w:i/>
          <w:sz w:val="20"/>
          <w:szCs w:val="20"/>
          <w:lang w:val="es-AR"/>
        </w:rPr>
        <w:t>La primera Constitución político-social del mundo</w:t>
      </w:r>
      <w:r>
        <w:rPr>
          <w:rFonts w:ascii="Times New Roman" w:hAnsi="Times New Roman"/>
          <w:sz w:val="20"/>
          <w:szCs w:val="20"/>
          <w:lang w:val="es-AR"/>
        </w:rPr>
        <w:t>, Porrúa, México, 1971</w:t>
      </w:r>
    </w:p>
    <w:p w:rsidR="00000000" w:rsidRDefault="007B5A38">
      <w:pPr>
        <w:rPr>
          <w:rFonts w:ascii="Times New Roman" w:hAnsi="Times New Roman"/>
          <w:sz w:val="20"/>
          <w:szCs w:val="20"/>
        </w:rPr>
      </w:pPr>
      <w:r>
        <w:rPr>
          <w:rFonts w:ascii="Times New Roman" w:hAnsi="Times New Roman"/>
          <w:sz w:val="20"/>
          <w:szCs w:val="20"/>
        </w:rPr>
        <w:t xml:space="preserve">TYACK, D., JAMES, T y BENAVOT, A., </w:t>
      </w:r>
      <w:r>
        <w:rPr>
          <w:rFonts w:ascii="Times New Roman" w:hAnsi="Times New Roman"/>
          <w:i/>
          <w:sz w:val="20"/>
          <w:szCs w:val="20"/>
        </w:rPr>
        <w:t>Law and the Shaping of Public Education (1785-1954)</w:t>
      </w:r>
      <w:r>
        <w:rPr>
          <w:rFonts w:ascii="Times New Roman" w:hAnsi="Times New Roman"/>
          <w:sz w:val="20"/>
          <w:szCs w:val="20"/>
        </w:rPr>
        <w:t>, University of Wisconsin Press, Madison, 1987</w:t>
      </w:r>
    </w:p>
    <w:p w:rsidR="00000000" w:rsidRDefault="007B5A38">
      <w:pPr>
        <w:rPr>
          <w:rFonts w:ascii="Times New Roman" w:hAnsi="Times New Roman"/>
          <w:sz w:val="20"/>
          <w:szCs w:val="20"/>
        </w:rPr>
      </w:pPr>
      <w:r>
        <w:rPr>
          <w:rFonts w:ascii="Times New Roman" w:hAnsi="Times New Roman"/>
          <w:sz w:val="20"/>
          <w:szCs w:val="20"/>
        </w:rPr>
        <w:t xml:space="preserve">UPRIMNY, R., “The Enforcement of Social Rights by the Colombian ConstitutionalCourt: Cases and Debates”, en SARMIENTO, P., GARGARELLA, R. y ROUX, T. (eds.), </w:t>
      </w:r>
      <w:r>
        <w:rPr>
          <w:rFonts w:ascii="Times New Roman" w:hAnsi="Times New Roman"/>
          <w:i/>
          <w:sz w:val="20"/>
          <w:szCs w:val="20"/>
        </w:rPr>
        <w:t>Courts and Social Transformation in New Democracies:</w:t>
      </w:r>
      <w:r>
        <w:rPr>
          <w:rFonts w:ascii="Times New Roman" w:hAnsi="Times New Roman"/>
          <w:i/>
          <w:sz w:val="20"/>
          <w:szCs w:val="20"/>
        </w:rPr>
        <w:t xml:space="preserve"> an Institutional Voice for the Poor?</w:t>
      </w:r>
      <w:r>
        <w:rPr>
          <w:rFonts w:ascii="Times New Roman" w:hAnsi="Times New Roman"/>
          <w:sz w:val="20"/>
          <w:szCs w:val="20"/>
        </w:rPr>
        <w:t>, Ashgate, Aldershot,2006, pp. 127-152</w:t>
      </w:r>
    </w:p>
    <w:p w:rsidR="00000000" w:rsidRDefault="007B5A38">
      <w:pPr>
        <w:rPr>
          <w:rFonts w:ascii="Times New Roman" w:hAnsi="Times New Roman"/>
          <w:sz w:val="20"/>
          <w:szCs w:val="20"/>
          <w:lang w:val="es-AR"/>
        </w:rPr>
      </w:pPr>
      <w:r>
        <w:rPr>
          <w:rFonts w:ascii="Times New Roman" w:hAnsi="Times New Roman"/>
          <w:sz w:val="20"/>
          <w:szCs w:val="20"/>
          <w:lang w:val="es-AR"/>
        </w:rPr>
        <w:t>VILABONA, M. P., “La constitución mexicana de 1917 y la española de 1931”, en Revista de Estudios Políticos (Nueva Época),  Núms. 31-32. Enero-Abril 1983, pp. 199-208</w:t>
      </w:r>
    </w:p>
    <w:p w:rsidR="00000000" w:rsidRDefault="007B5A38">
      <w:pPr>
        <w:rPr>
          <w:rFonts w:ascii="Times New Roman" w:hAnsi="Times New Roman"/>
          <w:sz w:val="20"/>
          <w:szCs w:val="20"/>
          <w:lang w:val="es-AR"/>
        </w:rPr>
      </w:pPr>
      <w:r>
        <w:rPr>
          <w:rFonts w:ascii="Times New Roman" w:hAnsi="Times New Roman"/>
          <w:sz w:val="20"/>
          <w:szCs w:val="20"/>
          <w:lang w:val="es-AR"/>
        </w:rPr>
        <w:t>WEBER, A., “E</w:t>
      </w:r>
      <w:r>
        <w:rPr>
          <w:rFonts w:ascii="Times New Roman" w:hAnsi="Times New Roman"/>
          <w:sz w:val="20"/>
          <w:szCs w:val="20"/>
          <w:lang w:val="es-AR"/>
        </w:rPr>
        <w:t>stado social, derechos sociales fundamentales y protección social en la República Federal de Alemania”, en MUÑOZ MACHADO, S., GARCÍA DELGADO, J.L, y GONZÁLEZ SEARA, L. (dirs.), </w:t>
      </w:r>
      <w:r>
        <w:rPr>
          <w:rFonts w:ascii="Times New Roman" w:hAnsi="Times New Roman"/>
          <w:i/>
          <w:iCs/>
          <w:sz w:val="20"/>
          <w:szCs w:val="20"/>
          <w:lang w:val="es-AR"/>
        </w:rPr>
        <w:t>Las estructuras del bienestar en Europa,</w:t>
      </w:r>
      <w:r>
        <w:rPr>
          <w:rFonts w:ascii="Times New Roman" w:hAnsi="Times New Roman"/>
          <w:sz w:val="20"/>
          <w:szCs w:val="20"/>
          <w:lang w:val="es-AR"/>
        </w:rPr>
        <w:t xml:space="preserve"> Civitas, Madrid, 2000, pp. 569 y ss.</w:t>
      </w:r>
    </w:p>
    <w:p w:rsidR="00000000" w:rsidRDefault="007B5A38">
      <w:pPr>
        <w:jc w:val="both"/>
        <w:rPr>
          <w:rFonts w:ascii="Times New Roman" w:hAnsi="Times New Roman"/>
          <w:b/>
          <w:sz w:val="24"/>
          <w:szCs w:val="24"/>
          <w:lang w:val="es-AR"/>
        </w:rPr>
      </w:pPr>
    </w:p>
    <w:p w:rsidR="007B5A38" w:rsidRDefault="007B5A38">
      <w:pPr>
        <w:ind w:left="720"/>
        <w:jc w:val="both"/>
        <w:rPr>
          <w:rFonts w:ascii="Times New Roman" w:hAnsi="Times New Roman"/>
          <w:sz w:val="24"/>
          <w:szCs w:val="24"/>
          <w:lang w:val="es-AR"/>
        </w:rPr>
      </w:pPr>
    </w:p>
    <w:sectPr w:rsidR="007B5A38">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5A38" w:rsidRDefault="007B5A38">
      <w:pPr>
        <w:spacing w:after="0" w:line="240" w:lineRule="auto"/>
      </w:pPr>
      <w:r>
        <w:separator/>
      </w:r>
    </w:p>
  </w:endnote>
  <w:endnote w:type="continuationSeparator" w:id="0">
    <w:p w:rsidR="007B5A38" w:rsidRDefault="007B5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7B5A3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00000" w:rsidRDefault="007B5A3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7B5A3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72</w:t>
    </w:r>
    <w:r>
      <w:rPr>
        <w:rStyle w:val="Nmerodepgina"/>
      </w:rPr>
      <w:fldChar w:fldCharType="end"/>
    </w:r>
  </w:p>
  <w:p w:rsidR="00000000" w:rsidRDefault="007B5A38">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5A38" w:rsidRDefault="007B5A38">
      <w:pPr>
        <w:spacing w:after="0" w:line="240" w:lineRule="auto"/>
      </w:pPr>
      <w:r>
        <w:separator/>
      </w:r>
    </w:p>
  </w:footnote>
  <w:footnote w:type="continuationSeparator" w:id="0">
    <w:p w:rsidR="007B5A38" w:rsidRDefault="007B5A38">
      <w:pPr>
        <w:spacing w:after="0" w:line="240" w:lineRule="auto"/>
      </w:pPr>
      <w:r>
        <w:continuationSeparator/>
      </w:r>
    </w:p>
  </w:footnote>
  <w:footnote w:id="1">
    <w:p w:rsidR="00000000" w:rsidRDefault="007B5A38">
      <w:pPr>
        <w:pStyle w:val="Textonotapie"/>
        <w:rPr>
          <w:rFonts w:ascii="Times New Roman" w:hAnsi="Times New Roman"/>
          <w:i/>
          <w:lang w:val="es-ES"/>
        </w:rPr>
      </w:pPr>
      <w:r>
        <w:rPr>
          <w:rStyle w:val="Refdenotaalpie"/>
        </w:rPr>
        <w:footnoteRef/>
      </w:r>
      <w:r>
        <w:rPr>
          <w:lang w:val="es-AR"/>
        </w:rPr>
        <w:t xml:space="preserve"> </w:t>
      </w:r>
      <w:r>
        <w:rPr>
          <w:rFonts w:ascii="Times New Roman" w:hAnsi="Times New Roman"/>
          <w:lang w:val="es-AR"/>
        </w:rPr>
        <w:t xml:space="preserve">Para ello, ver, por ejemplo, entre la literatura en lengua castellana,  </w:t>
      </w:r>
      <w:r>
        <w:rPr>
          <w:rFonts w:ascii="Times New Roman" w:hAnsi="Times New Roman"/>
          <w:highlight w:val="yellow"/>
          <w:lang w:val="es-ES"/>
        </w:rPr>
        <w:t>ALEXY, R.</w:t>
      </w:r>
      <w:r>
        <w:rPr>
          <w:rFonts w:ascii="Times New Roman" w:hAnsi="Times New Roman"/>
          <w:lang w:val="es-ES"/>
        </w:rPr>
        <w:t xml:space="preserve">, </w:t>
      </w:r>
      <w:r>
        <w:rPr>
          <w:rFonts w:ascii="Times New Roman" w:hAnsi="Times New Roman"/>
          <w:i/>
          <w:lang w:val="es-ES"/>
        </w:rPr>
        <w:t>Teoría de los derechos fundamentales</w:t>
      </w:r>
      <w:r>
        <w:rPr>
          <w:rFonts w:ascii="Times New Roman" w:hAnsi="Times New Roman"/>
          <w:lang w:val="es-ES"/>
        </w:rPr>
        <w:t>, trad. E. Garzón Valdés, Centro de Estudios Constitucionales, Madrid, 1993;</w:t>
      </w:r>
      <w:r>
        <w:rPr>
          <w:rFonts w:ascii="Times New Roman" w:hAnsi="Times New Roman"/>
          <w:lang w:val="es-AR"/>
        </w:rPr>
        <w:t xml:space="preserve"> </w:t>
      </w:r>
      <w:r>
        <w:rPr>
          <w:rFonts w:ascii="Times New Roman" w:hAnsi="Times New Roman"/>
          <w:highlight w:val="yellow"/>
          <w:lang w:val="es-ES"/>
        </w:rPr>
        <w:t>PRIETO SANCHIS, L.</w:t>
      </w:r>
      <w:r>
        <w:rPr>
          <w:rFonts w:ascii="Times New Roman" w:hAnsi="Times New Roman"/>
          <w:lang w:val="es-ES"/>
        </w:rPr>
        <w:t xml:space="preserve">, </w:t>
      </w:r>
      <w:r>
        <w:rPr>
          <w:rFonts w:ascii="Times New Roman" w:hAnsi="Times New Roman"/>
          <w:i/>
          <w:lang w:val="es-ES"/>
        </w:rPr>
        <w:t>Ley, principios, derechos</w:t>
      </w:r>
      <w:r>
        <w:rPr>
          <w:rFonts w:ascii="Times New Roman" w:hAnsi="Times New Roman"/>
          <w:lang w:val="es-ES"/>
        </w:rPr>
        <w:t xml:space="preserve">, Dykinson, </w:t>
      </w:r>
      <w:r>
        <w:rPr>
          <w:rFonts w:ascii="Times New Roman" w:hAnsi="Times New Roman"/>
          <w:lang w:val="es-ES"/>
        </w:rPr>
        <w:t>Madrid, 1998;</w:t>
      </w:r>
      <w:r>
        <w:rPr>
          <w:rFonts w:ascii="Times New Roman" w:hAnsi="Times New Roman"/>
          <w:lang w:val="es-AR"/>
        </w:rPr>
        <w:t xml:space="preserve"> </w:t>
      </w:r>
      <w:r>
        <w:rPr>
          <w:rFonts w:ascii="Times New Roman" w:hAnsi="Times New Roman"/>
          <w:highlight w:val="yellow"/>
          <w:lang w:val="es-ES"/>
        </w:rPr>
        <w:t>PECES-BARBA, G.</w:t>
      </w:r>
      <w:r>
        <w:rPr>
          <w:rFonts w:ascii="Times New Roman" w:hAnsi="Times New Roman"/>
          <w:lang w:val="es-ES"/>
        </w:rPr>
        <w:t xml:space="preserve">, “Los derechos económicos, sociales y culturales: apunte para su formación histórica y concepto”, en  PECES-BARBA, G, </w:t>
      </w:r>
      <w:r>
        <w:rPr>
          <w:rFonts w:ascii="Times New Roman" w:hAnsi="Times New Roman"/>
          <w:i/>
          <w:lang w:val="es-ES"/>
        </w:rPr>
        <w:t>Derechos sociales y positivismo jurídico (Escritos de Filosofía Jurídica y Política)</w:t>
      </w:r>
      <w:r>
        <w:rPr>
          <w:rFonts w:ascii="Times New Roman" w:hAnsi="Times New Roman"/>
          <w:lang w:val="es-ES"/>
        </w:rPr>
        <w:t>, Dykinson, Madrid, 1999</w:t>
      </w:r>
      <w:r>
        <w:rPr>
          <w:rFonts w:ascii="Times New Roman" w:hAnsi="Times New Roman"/>
          <w:lang w:val="es-ES"/>
        </w:rPr>
        <w:t xml:space="preserve">, pp. 7-66; </w:t>
      </w:r>
      <w:r>
        <w:rPr>
          <w:rFonts w:ascii="Times New Roman" w:hAnsi="Times New Roman"/>
          <w:highlight w:val="yellow"/>
          <w:lang w:val="es-AR"/>
        </w:rPr>
        <w:t>CARBONELL, M., CRUZ PARCERO, J. A. y VAZQUEZ, R.</w:t>
      </w:r>
      <w:r>
        <w:rPr>
          <w:rFonts w:ascii="Times New Roman" w:hAnsi="Times New Roman"/>
          <w:lang w:val="es-AR"/>
        </w:rPr>
        <w:t xml:space="preserve"> (comps.), </w:t>
      </w:r>
      <w:r>
        <w:rPr>
          <w:rFonts w:ascii="Times New Roman" w:hAnsi="Times New Roman"/>
          <w:i/>
          <w:lang w:val="es-AR"/>
        </w:rPr>
        <w:t>Derechos sociales y derechos de las minorías</w:t>
      </w:r>
      <w:r>
        <w:rPr>
          <w:rFonts w:ascii="Times New Roman" w:hAnsi="Times New Roman"/>
          <w:lang w:val="es-AR"/>
        </w:rPr>
        <w:t xml:space="preserve">, 2da. Ed, Porrúa-UNAM, México, 2001; </w:t>
      </w:r>
      <w:r>
        <w:rPr>
          <w:rFonts w:ascii="Times New Roman" w:hAnsi="Times New Roman"/>
          <w:highlight w:val="yellow"/>
          <w:lang w:val="es-AR"/>
        </w:rPr>
        <w:t>ABRAMOVICH, V. y COURTIS, C.</w:t>
      </w:r>
      <w:r>
        <w:rPr>
          <w:rFonts w:ascii="Times New Roman" w:hAnsi="Times New Roman"/>
          <w:lang w:val="es-AR"/>
        </w:rPr>
        <w:t xml:space="preserve">, </w:t>
      </w:r>
      <w:r>
        <w:rPr>
          <w:rFonts w:ascii="Times New Roman" w:hAnsi="Times New Roman"/>
          <w:i/>
          <w:lang w:val="es-AR"/>
        </w:rPr>
        <w:t>Los derechos sociales como derechos exigibles</w:t>
      </w:r>
      <w:r>
        <w:rPr>
          <w:rFonts w:ascii="Times New Roman" w:hAnsi="Times New Roman"/>
          <w:lang w:val="es-AR"/>
        </w:rPr>
        <w:t xml:space="preserve">, Trotta, Madrid, 2002; </w:t>
      </w:r>
      <w:r>
        <w:rPr>
          <w:rFonts w:ascii="Times New Roman" w:hAnsi="Times New Roman"/>
          <w:highlight w:val="yellow"/>
          <w:lang w:val="es-AR"/>
        </w:rPr>
        <w:t>ARAN</w:t>
      </w:r>
      <w:r>
        <w:rPr>
          <w:rFonts w:ascii="Times New Roman" w:hAnsi="Times New Roman"/>
          <w:highlight w:val="yellow"/>
          <w:lang w:val="es-AR"/>
        </w:rPr>
        <w:t>GO, R.</w:t>
      </w:r>
      <w:r>
        <w:rPr>
          <w:rFonts w:ascii="Times New Roman" w:hAnsi="Times New Roman"/>
          <w:lang w:val="es-AR"/>
        </w:rPr>
        <w:t>, </w:t>
      </w:r>
      <w:r>
        <w:rPr>
          <w:rFonts w:ascii="Times New Roman" w:hAnsi="Times New Roman"/>
          <w:i/>
          <w:lang w:val="es-AR"/>
        </w:rPr>
        <w:t>El concepto de derechos sociales fundamentales</w:t>
      </w:r>
      <w:r>
        <w:rPr>
          <w:rFonts w:ascii="Times New Roman" w:hAnsi="Times New Roman"/>
          <w:lang w:val="es-AR"/>
        </w:rPr>
        <w:t xml:space="preserve">, Legis-Universidad Nacional de Colombia, Bogotá, 2005; </w:t>
      </w:r>
      <w:r>
        <w:rPr>
          <w:rFonts w:ascii="Times New Roman" w:hAnsi="Times New Roman"/>
          <w:highlight w:val="yellow"/>
          <w:lang w:val="es-ES"/>
        </w:rPr>
        <w:t>BERNAL PULIDO, C.</w:t>
      </w:r>
      <w:r>
        <w:rPr>
          <w:rFonts w:ascii="Times New Roman" w:hAnsi="Times New Roman"/>
          <w:lang w:val="es-ES"/>
        </w:rPr>
        <w:t xml:space="preserve">, </w:t>
      </w:r>
      <w:r>
        <w:rPr>
          <w:rFonts w:ascii="Times New Roman" w:hAnsi="Times New Roman"/>
          <w:i/>
          <w:lang w:val="es-ES"/>
        </w:rPr>
        <w:t>El principio de proporcionalidad  y los derechos fundamentales</w:t>
      </w:r>
      <w:r>
        <w:rPr>
          <w:rFonts w:ascii="Times New Roman" w:hAnsi="Times New Roman"/>
          <w:lang w:val="es-ES"/>
        </w:rPr>
        <w:t>, Centro  de Estudios Políticos y Constitucionales, Madrid,  terc</w:t>
      </w:r>
      <w:r>
        <w:rPr>
          <w:rFonts w:ascii="Times New Roman" w:hAnsi="Times New Roman"/>
          <w:lang w:val="es-ES"/>
        </w:rPr>
        <w:t xml:space="preserve">era  edición, 2007; </w:t>
      </w:r>
      <w:r>
        <w:rPr>
          <w:rFonts w:ascii="Times New Roman" w:hAnsi="Times New Roman"/>
          <w:highlight w:val="yellow"/>
          <w:lang w:val="es-ES"/>
        </w:rPr>
        <w:t>PISARELLO, G.</w:t>
      </w:r>
      <w:r>
        <w:rPr>
          <w:rFonts w:ascii="Times New Roman" w:hAnsi="Times New Roman"/>
          <w:lang w:val="es-ES"/>
        </w:rPr>
        <w:t xml:space="preserve">, </w:t>
      </w:r>
      <w:r>
        <w:rPr>
          <w:rFonts w:ascii="Times New Roman" w:hAnsi="Times New Roman"/>
          <w:i/>
          <w:lang w:val="es-ES"/>
        </w:rPr>
        <w:t>Los derechos sociales y sus garantías</w:t>
      </w:r>
      <w:r>
        <w:rPr>
          <w:rFonts w:ascii="Times New Roman" w:hAnsi="Times New Roman"/>
          <w:lang w:val="es-ES"/>
        </w:rPr>
        <w:t>, Trotta, Madrid, 2007.</w:t>
      </w:r>
    </w:p>
  </w:footnote>
  <w:footnote w:id="2">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Como la constituciones haitiana de 1805, chilena de 1823, la mexicana de 1843 (“Bases de la organización política de la República Mexicana”), la argentina de </w:t>
      </w:r>
      <w:r>
        <w:rPr>
          <w:rFonts w:ascii="Times New Roman" w:hAnsi="Times New Roman"/>
          <w:lang w:val="es-AR"/>
        </w:rPr>
        <w:t>1853-60, la peruana de 1856  y  la cubana de 1869 (constitución de Guáimaro).</w:t>
      </w:r>
    </w:p>
  </w:footnote>
  <w:footnote w:id="3">
    <w:p w:rsidR="00000000" w:rsidRDefault="007B5A38">
      <w:pPr>
        <w:pStyle w:val="Textonotapie"/>
        <w:rPr>
          <w:lang w:val="es-ES"/>
        </w:rPr>
      </w:pPr>
      <w:r>
        <w:rPr>
          <w:rStyle w:val="Refdenotaalpie"/>
        </w:rPr>
        <w:footnoteRef/>
      </w:r>
      <w:r>
        <w:rPr>
          <w:lang w:val="es-ES"/>
        </w:rPr>
        <w:t xml:space="preserve"> </w:t>
      </w:r>
      <w:r>
        <w:rPr>
          <w:rFonts w:ascii="Times New Roman" w:hAnsi="Times New Roman"/>
          <w:lang w:val="es-ES"/>
        </w:rPr>
        <w:t xml:space="preserve">La afirmación del carácter social de los derechos del hombre, en realidad, se halla de explícita en los trabajos del Comité de Mendicidad que consideraba en su plan de trabajo </w:t>
      </w:r>
      <w:r>
        <w:rPr>
          <w:rFonts w:ascii="Times New Roman" w:hAnsi="Times New Roman"/>
          <w:lang w:val="es-ES"/>
        </w:rPr>
        <w:t xml:space="preserve">de 1790, previo a la constituyente, que “todo hombre tiene derecho a su subsistencia”. Ver </w:t>
      </w:r>
      <w:r>
        <w:rPr>
          <w:rFonts w:ascii="Times New Roman" w:hAnsi="Times New Roman"/>
          <w:highlight w:val="yellow"/>
          <w:lang w:val="es-ES"/>
        </w:rPr>
        <w:t>HERRERA, C. M.</w:t>
      </w:r>
      <w:r>
        <w:rPr>
          <w:rFonts w:ascii="Times New Roman" w:hAnsi="Times New Roman"/>
          <w:lang w:val="es-ES"/>
        </w:rPr>
        <w:t xml:space="preserve">, “Estado, constitución y derechos sociales”, en HERRERA, C. M., </w:t>
      </w:r>
      <w:r>
        <w:rPr>
          <w:rFonts w:ascii="Times New Roman" w:hAnsi="Times New Roman"/>
          <w:i/>
          <w:lang w:val="es-ES"/>
        </w:rPr>
        <w:t>Los derechos sociales, entre Estado y doctrina jurídica</w:t>
      </w:r>
      <w:r>
        <w:rPr>
          <w:rFonts w:ascii="Times New Roman" w:hAnsi="Times New Roman"/>
          <w:lang w:val="es-ES"/>
        </w:rPr>
        <w:t>, trad. de M. Padró, Universida</w:t>
      </w:r>
      <w:r>
        <w:rPr>
          <w:rFonts w:ascii="Times New Roman" w:hAnsi="Times New Roman"/>
          <w:lang w:val="es-ES"/>
        </w:rPr>
        <w:t xml:space="preserve">d del Externado, Bogotá, 2009, pp. 21 y ss.  </w:t>
      </w:r>
    </w:p>
  </w:footnote>
  <w:footnote w:id="4">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AR"/>
        </w:rPr>
        <w:t>HERRERA, C. M.</w:t>
      </w:r>
      <w:r>
        <w:rPr>
          <w:rFonts w:ascii="Times New Roman" w:hAnsi="Times New Roman"/>
          <w:lang w:val="es-AR"/>
        </w:rPr>
        <w:t xml:space="preserve">, “Estado, constitución y derechos sociales”, cit., pp. 19-32; </w:t>
      </w:r>
      <w:r>
        <w:rPr>
          <w:rFonts w:ascii="Times New Roman" w:hAnsi="Times New Roman"/>
          <w:highlight w:val="yellow"/>
          <w:lang w:val="es-AR"/>
        </w:rPr>
        <w:t>HERRERA, C.M.</w:t>
      </w:r>
      <w:r>
        <w:rPr>
          <w:rFonts w:ascii="Times New Roman" w:hAnsi="Times New Roman"/>
          <w:lang w:val="es-AR"/>
        </w:rPr>
        <w:t xml:space="preserve">, </w:t>
      </w:r>
      <w:r>
        <w:rPr>
          <w:rFonts w:ascii="Times New Roman" w:hAnsi="Times New Roman"/>
          <w:i/>
          <w:lang w:val="es-AR"/>
        </w:rPr>
        <w:t>Les droits sociaux</w:t>
      </w:r>
      <w:r>
        <w:rPr>
          <w:rFonts w:ascii="Times New Roman" w:hAnsi="Times New Roman"/>
          <w:lang w:val="es-AR"/>
        </w:rPr>
        <w:t xml:space="preserve">, </w:t>
      </w:r>
      <w:r>
        <w:rPr>
          <w:rFonts w:ascii="Times New Roman" w:hAnsi="Times New Roman"/>
          <w:bCs/>
          <w:lang w:val="es-AR"/>
        </w:rPr>
        <w:t>Presses Universitaires de France</w:t>
      </w:r>
      <w:r>
        <w:rPr>
          <w:rFonts w:ascii="Times New Roman" w:hAnsi="Times New Roman"/>
          <w:lang w:val="es-AR"/>
        </w:rPr>
        <w:t xml:space="preserve">, París, 2009, pp. 48-53; </w:t>
      </w:r>
      <w:r>
        <w:rPr>
          <w:rFonts w:ascii="Times New Roman" w:hAnsi="Times New Roman"/>
          <w:highlight w:val="yellow"/>
          <w:lang w:val="es-AR"/>
        </w:rPr>
        <w:t>PISARELLO, G</w:t>
      </w:r>
      <w:r>
        <w:rPr>
          <w:rFonts w:ascii="Times New Roman" w:hAnsi="Times New Roman"/>
          <w:lang w:val="es-AR"/>
        </w:rPr>
        <w:t xml:space="preserve">., </w:t>
      </w:r>
      <w:r>
        <w:rPr>
          <w:rFonts w:ascii="Times New Roman" w:hAnsi="Times New Roman"/>
          <w:i/>
          <w:lang w:val="es-AR"/>
        </w:rPr>
        <w:t xml:space="preserve">Un largo Termidor. </w:t>
      </w:r>
      <w:r>
        <w:rPr>
          <w:rFonts w:ascii="Times New Roman" w:hAnsi="Times New Roman"/>
          <w:i/>
          <w:lang w:val="es-AR"/>
        </w:rPr>
        <w:t>La ofensiva del constitucionalismo antidemocrático</w:t>
      </w:r>
      <w:r>
        <w:rPr>
          <w:rFonts w:ascii="Times New Roman" w:hAnsi="Times New Roman"/>
          <w:lang w:val="es-AR"/>
        </w:rPr>
        <w:t>, Trotta, Madrid, 2011, pp. 95-102.</w:t>
      </w:r>
    </w:p>
  </w:footnote>
  <w:footnote w:id="5">
    <w:p w:rsidR="00000000" w:rsidRDefault="007B5A38">
      <w:pPr>
        <w:pStyle w:val="Textonotapie"/>
      </w:pPr>
      <w:r>
        <w:rPr>
          <w:rStyle w:val="Refdenotaalpie"/>
        </w:rPr>
        <w:footnoteRef/>
      </w:r>
      <w:r>
        <w:t xml:space="preserve"> </w:t>
      </w:r>
      <w:r>
        <w:rPr>
          <w:rFonts w:ascii="Times New Roman" w:hAnsi="Times New Roman"/>
        </w:rPr>
        <w:t xml:space="preserve">Ver </w:t>
      </w:r>
      <w:r>
        <w:rPr>
          <w:rFonts w:ascii="Times New Roman" w:hAnsi="Times New Roman"/>
          <w:highlight w:val="yellow"/>
        </w:rPr>
        <w:t>TYACK, D., JAMES, T y BENAVOT, A.</w:t>
      </w:r>
      <w:r>
        <w:rPr>
          <w:rFonts w:ascii="Times New Roman" w:hAnsi="Times New Roman"/>
        </w:rPr>
        <w:t xml:space="preserve">, </w:t>
      </w:r>
      <w:r>
        <w:rPr>
          <w:rFonts w:ascii="Times New Roman" w:hAnsi="Times New Roman"/>
          <w:i/>
        </w:rPr>
        <w:t>Law and the Shaping of Public Education (1785-1954)</w:t>
      </w:r>
      <w:r>
        <w:rPr>
          <w:rFonts w:ascii="Times New Roman" w:hAnsi="Times New Roman"/>
        </w:rPr>
        <w:t xml:space="preserve">, University of Wisconsin Press, Madison, 1987; </w:t>
      </w:r>
      <w:r>
        <w:rPr>
          <w:rFonts w:ascii="Times New Roman" w:hAnsi="Times New Roman"/>
          <w:highlight w:val="yellow"/>
        </w:rPr>
        <w:t>TRACTENBERG, P. L.</w:t>
      </w:r>
      <w:r>
        <w:rPr>
          <w:rFonts w:ascii="Times New Roman" w:hAnsi="Times New Roman"/>
        </w:rPr>
        <w:t>, “Education</w:t>
      </w:r>
      <w:r>
        <w:rPr>
          <w:rFonts w:ascii="Times New Roman" w:hAnsi="Times New Roman"/>
        </w:rPr>
        <w:t xml:space="preserve">”, en TARR, G. A. y WILLIAMS, R. F. (eds.),  </w:t>
      </w:r>
      <w:r>
        <w:rPr>
          <w:rFonts w:ascii="Times New Roman" w:hAnsi="Times New Roman"/>
          <w:i/>
        </w:rPr>
        <w:t>State Constitutions for the Twenty-First Century, Volume 3: The Agenda of State Constitutional Reform</w:t>
      </w:r>
      <w:r>
        <w:rPr>
          <w:rFonts w:ascii="Times New Roman" w:hAnsi="Times New Roman"/>
        </w:rPr>
        <w:t>, SUNY Press, Albany, 2006, pp. 241-249.</w:t>
      </w:r>
    </w:p>
  </w:footnote>
  <w:footnote w:id="6">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Son ejemplos de ello  las Constituciones de Pennsylvania (1776, sec</w:t>
      </w:r>
      <w:r>
        <w:rPr>
          <w:rFonts w:ascii="Times New Roman" w:hAnsi="Times New Roman"/>
          <w:lang w:val="es-AR"/>
        </w:rPr>
        <w:t>ción 44), Carolina del Norte (1776, artículo 41), Georgia (1777, sección LIV), Massachusetts (1780, segunda parte, capítulo V sección II), Nueva Hampshire (1784, artículo 83),  Vermont (1793, artículo 68), Ohio (1803, artículo VIII secciones 3 y 25), India</w:t>
      </w:r>
      <w:r>
        <w:rPr>
          <w:rFonts w:ascii="Times New Roman" w:hAnsi="Times New Roman"/>
          <w:lang w:val="es-AR"/>
        </w:rPr>
        <w:t>na (1816, artículo IX secciones 1 y 2), Mississippi (1817, artículo 4, sección 16), Connecticut (1818, artículo 8), Alabama (1819, artículo VI, sección “Education”), Missouri (1820, artículo VI) y Maine (1820, artículo VIII).</w:t>
      </w:r>
    </w:p>
  </w:footnote>
  <w:footnote w:id="7">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Constituyen ejemplos de esta</w:t>
      </w:r>
      <w:r>
        <w:rPr>
          <w:rFonts w:ascii="Times New Roman" w:hAnsi="Times New Roman"/>
          <w:lang w:val="es-AR"/>
        </w:rPr>
        <w:t xml:space="preserve"> tendencia las constituciones de Michigan (1835, artículo X), Rhode Island (1842, artículo XIII), Texas (1845, artículo X), Iowa (1846, artículo X), Wisconsin (1848, artículo X), California (1849, artículo IX), Minnesota (1857, artículo 8), Oregon (1857, a</w:t>
      </w:r>
      <w:r>
        <w:rPr>
          <w:rFonts w:ascii="Times New Roman" w:hAnsi="Times New Roman"/>
          <w:lang w:val="es-AR"/>
        </w:rPr>
        <w:t>rtículo VIII), Kansas (1859, artículo VI), Nevada (1864, artículo 11), Maryland (1867, artículo VIII), Arkansas (1868, artículo IX), Florida (1868, artículo VIII), Virginia (1879, artículo VIII), Virginia Occidental (1872, artículo XII), Nebraska (1875, ar</w:t>
      </w:r>
      <w:r>
        <w:rPr>
          <w:rFonts w:ascii="Times New Roman" w:hAnsi="Times New Roman"/>
          <w:lang w:val="es-AR"/>
        </w:rPr>
        <w:t>tículo VII), Nueva Jersey (1875, artículo VIII), Colorado (1876, artículo IX), Dakota del Norte, (1889, artículo VIII) Dakota del Sur (1889, artículo VIII), Montana (1889, artículo XI), Washington (1889, artículo IX), Idaho (1890, artículo IX), Wyoming (18</w:t>
      </w:r>
      <w:r>
        <w:rPr>
          <w:rFonts w:ascii="Times New Roman" w:hAnsi="Times New Roman"/>
          <w:lang w:val="es-AR"/>
        </w:rPr>
        <w:t>90, artículo 1 sección 23 y artículo 7), Utah (1895, artículo 10) y Delaware (1897, artículo X).</w:t>
      </w:r>
    </w:p>
  </w:footnote>
  <w:footnote w:id="8">
    <w:p w:rsidR="00000000" w:rsidRDefault="007B5A38">
      <w:pPr>
        <w:pStyle w:val="Textonotapie"/>
        <w:rPr>
          <w:rFonts w:ascii="Times New Roman" w:hAnsi="Times New Roman"/>
          <w:lang w:val="es-ES"/>
        </w:rPr>
      </w:pPr>
      <w:r>
        <w:rPr>
          <w:rStyle w:val="Refdenotaalpie"/>
        </w:rPr>
        <w:footnoteRef/>
      </w:r>
      <w:r>
        <w:rPr>
          <w:lang w:val="es-AR"/>
        </w:rPr>
        <w:t xml:space="preserve"> </w:t>
      </w:r>
      <w:r>
        <w:rPr>
          <w:rFonts w:ascii="Times New Roman" w:hAnsi="Times New Roman"/>
          <w:highlight w:val="yellow"/>
          <w:lang w:val="es-AR"/>
        </w:rPr>
        <w:t>GARCÍA OVIEDO, C.</w:t>
      </w:r>
      <w:r>
        <w:rPr>
          <w:rFonts w:ascii="Times New Roman" w:hAnsi="Times New Roman"/>
          <w:lang w:val="es-AR"/>
        </w:rPr>
        <w:t xml:space="preserve">, </w:t>
      </w:r>
      <w:r>
        <w:rPr>
          <w:rFonts w:ascii="Times New Roman" w:hAnsi="Times New Roman"/>
          <w:i/>
          <w:lang w:val="es-AR"/>
        </w:rPr>
        <w:t>El constitucionalismo de la posguerra</w:t>
      </w:r>
      <w:r>
        <w:rPr>
          <w:rFonts w:ascii="Times New Roman" w:hAnsi="Times New Roman"/>
          <w:lang w:val="es-AR"/>
        </w:rPr>
        <w:t>, Tipográfica de M. Carmona, Sevilla, 1931;</w:t>
      </w:r>
      <w:r>
        <w:rPr>
          <w:lang w:val="es-AR"/>
        </w:rPr>
        <w:t xml:space="preserve"> </w:t>
      </w:r>
      <w:r>
        <w:rPr>
          <w:rFonts w:ascii="Times New Roman" w:hAnsi="Times New Roman"/>
          <w:highlight w:val="yellow"/>
          <w:lang w:val="es-AR"/>
        </w:rPr>
        <w:t>MIRKINE-GUETZEVITCH, B.</w:t>
      </w:r>
      <w:r>
        <w:rPr>
          <w:rFonts w:ascii="Times New Roman" w:hAnsi="Times New Roman"/>
          <w:lang w:val="es-AR"/>
        </w:rPr>
        <w:t xml:space="preserve">, Modernas tendencias del derecho </w:t>
      </w:r>
      <w:r>
        <w:rPr>
          <w:rFonts w:ascii="Times New Roman" w:hAnsi="Times New Roman"/>
          <w:lang w:val="es-AR"/>
        </w:rPr>
        <w:t>constitucional, trad. de S. Álvarez Gendin, Editorial Reus, Madrid, 1934;</w:t>
      </w:r>
      <w:r>
        <w:rPr>
          <w:lang w:val="es-AR"/>
        </w:rPr>
        <w:t xml:space="preserve"> </w:t>
      </w:r>
      <w:r>
        <w:rPr>
          <w:rFonts w:ascii="Times New Roman" w:hAnsi="Times New Roman"/>
          <w:highlight w:val="yellow"/>
          <w:lang w:val="es-AR"/>
        </w:rPr>
        <w:t>GURVITCH, G.</w:t>
      </w:r>
      <w:r>
        <w:rPr>
          <w:rFonts w:ascii="Times New Roman" w:hAnsi="Times New Roman"/>
          <w:lang w:val="es-AR"/>
        </w:rPr>
        <w:t xml:space="preserve">, </w:t>
      </w:r>
      <w:r>
        <w:rPr>
          <w:rFonts w:ascii="Times New Roman" w:hAnsi="Times New Roman"/>
          <w:i/>
          <w:lang w:val="es-AR"/>
        </w:rPr>
        <w:t>La Déclaration des droits sociaux</w:t>
      </w:r>
      <w:r>
        <w:rPr>
          <w:rFonts w:ascii="Times New Roman" w:hAnsi="Times New Roman"/>
          <w:lang w:val="es-AR"/>
        </w:rPr>
        <w:t xml:space="preserve">,  Éditions de la Maison Française, Nueva York, 1944; </w:t>
      </w:r>
      <w:r>
        <w:rPr>
          <w:rFonts w:ascii="Times New Roman" w:hAnsi="Times New Roman"/>
          <w:highlight w:val="yellow"/>
          <w:lang w:val="es-AR"/>
        </w:rPr>
        <w:t>GARCÍA RAMÍREZ, S.</w:t>
      </w:r>
      <w:r>
        <w:rPr>
          <w:rFonts w:ascii="Times New Roman" w:hAnsi="Times New Roman"/>
          <w:lang w:val="es-AR"/>
        </w:rPr>
        <w:t>, “Tres textos precursores en el constitucionalismo social”, Bo</w:t>
      </w:r>
      <w:r>
        <w:rPr>
          <w:rFonts w:ascii="Times New Roman" w:hAnsi="Times New Roman"/>
          <w:lang w:val="es-AR"/>
        </w:rPr>
        <w:t xml:space="preserve">letín Mexicano de Derecho Comparado, México, UNAM, nueva serie, año I, núm. 23, mayo-diciembre 1968, pp. 469-480;  </w:t>
      </w:r>
      <w:r>
        <w:rPr>
          <w:rFonts w:ascii="Times New Roman" w:hAnsi="Times New Roman"/>
          <w:highlight w:val="yellow"/>
          <w:lang w:val="es-AR"/>
        </w:rPr>
        <w:t>LOEWENSTEIN, K</w:t>
      </w:r>
      <w:r>
        <w:rPr>
          <w:rFonts w:ascii="Times New Roman" w:hAnsi="Times New Roman"/>
          <w:lang w:val="es-AR"/>
        </w:rPr>
        <w:t xml:space="preserve">., </w:t>
      </w:r>
      <w:r>
        <w:rPr>
          <w:rFonts w:ascii="Times New Roman" w:hAnsi="Times New Roman"/>
          <w:i/>
          <w:lang w:val="es-AR"/>
        </w:rPr>
        <w:t>Teoría de la Constitución</w:t>
      </w:r>
      <w:r>
        <w:rPr>
          <w:rFonts w:ascii="Times New Roman" w:hAnsi="Times New Roman"/>
          <w:lang w:val="es-AR"/>
        </w:rPr>
        <w:t>, trad. Alfredo Gallego Anabitarte , Ariel, Barcelona, 2a. ed., 1976,  pp. 398-408</w:t>
      </w:r>
      <w:r>
        <w:rPr>
          <w:rFonts w:ascii="Times New Roman" w:hAnsi="Times New Roman"/>
          <w:highlight w:val="yellow"/>
          <w:lang w:val="es-AR"/>
        </w:rPr>
        <w:t>; VANOSSI, J. R</w:t>
      </w:r>
      <w:r>
        <w:rPr>
          <w:rFonts w:ascii="Times New Roman" w:hAnsi="Times New Roman"/>
          <w:lang w:val="es-AR"/>
        </w:rPr>
        <w:t>.,</w:t>
      </w:r>
      <w:r>
        <w:rPr>
          <w:rFonts w:ascii="Times New Roman" w:hAnsi="Times New Roman"/>
          <w:lang w:val="es-AR"/>
        </w:rPr>
        <w:t xml:space="preserve"> </w:t>
      </w:r>
      <w:r>
        <w:rPr>
          <w:rFonts w:ascii="Times New Roman" w:hAnsi="Times New Roman"/>
          <w:i/>
          <w:lang w:val="es-AR"/>
        </w:rPr>
        <w:t>El Estado de Derecho en el Constitucionalismo Social</w:t>
      </w:r>
      <w:r>
        <w:rPr>
          <w:rFonts w:ascii="Times New Roman" w:hAnsi="Times New Roman"/>
          <w:lang w:val="es-AR"/>
        </w:rPr>
        <w:t>, EUDEBA, Buenos Aires, 1982;</w:t>
      </w:r>
      <w:r>
        <w:rPr>
          <w:rFonts w:ascii="Times New Roman" w:hAnsi="Times New Roman"/>
          <w:lang w:val="es-ES"/>
        </w:rPr>
        <w:t xml:space="preserve"> </w:t>
      </w:r>
      <w:r>
        <w:rPr>
          <w:rFonts w:ascii="Times New Roman" w:hAnsi="Times New Roman"/>
          <w:highlight w:val="yellow"/>
          <w:lang w:val="es-ES"/>
        </w:rPr>
        <w:t>MONEREO PÉREZ, J.L.</w:t>
      </w:r>
      <w:r>
        <w:rPr>
          <w:rFonts w:ascii="Times New Roman" w:hAnsi="Times New Roman"/>
          <w:lang w:val="es-ES"/>
        </w:rPr>
        <w:t xml:space="preserve">, </w:t>
      </w:r>
      <w:r>
        <w:rPr>
          <w:rFonts w:ascii="Times New Roman" w:hAnsi="Times New Roman"/>
          <w:i/>
          <w:lang w:val="es-ES"/>
        </w:rPr>
        <w:t xml:space="preserve">Fundamentos doctrinales del Derecho social en España, </w:t>
      </w:r>
      <w:r>
        <w:rPr>
          <w:rFonts w:ascii="Times New Roman" w:hAnsi="Times New Roman"/>
          <w:lang w:val="es-ES"/>
        </w:rPr>
        <w:t xml:space="preserve">Trotta, Madrid, 1997, pp. 79 y ss.; </w:t>
      </w:r>
      <w:r>
        <w:rPr>
          <w:rFonts w:ascii="Times New Roman" w:hAnsi="Times New Roman"/>
          <w:highlight w:val="yellow"/>
          <w:lang w:val="es-ES"/>
        </w:rPr>
        <w:t>PÉREZ AYALA, A.</w:t>
      </w:r>
      <w:r>
        <w:rPr>
          <w:rFonts w:ascii="Times New Roman" w:hAnsi="Times New Roman"/>
          <w:lang w:val="es-ES"/>
        </w:rPr>
        <w:t xml:space="preserve">, “Los orígenes del constitucionalismo social. </w:t>
      </w:r>
      <w:r>
        <w:rPr>
          <w:rFonts w:ascii="Times New Roman" w:hAnsi="Times New Roman"/>
          <w:lang w:val="es-ES"/>
        </w:rPr>
        <w:t xml:space="preserve">Una aproximación desde una perspectiva histórico-comparativa”, en GARCÍA HERRERA,  M.A. (dir.), </w:t>
      </w:r>
      <w:r>
        <w:rPr>
          <w:rFonts w:ascii="Times New Roman" w:hAnsi="Times New Roman"/>
          <w:i/>
          <w:lang w:val="es-ES"/>
        </w:rPr>
        <w:t xml:space="preserve">El constitucionalismo social en la crisis del Estado social, </w:t>
      </w:r>
      <w:r>
        <w:rPr>
          <w:rFonts w:ascii="Times New Roman" w:hAnsi="Times New Roman"/>
          <w:lang w:val="es-ES"/>
        </w:rPr>
        <w:t xml:space="preserve">Universidad del País Vasco, Bilbao, 1997, pp. 333 y ss.; </w:t>
      </w:r>
      <w:r>
        <w:rPr>
          <w:rFonts w:ascii="Times New Roman" w:hAnsi="Times New Roman"/>
          <w:highlight w:val="yellow"/>
          <w:lang w:val="es-ES"/>
        </w:rPr>
        <w:t>GUSY, C</w:t>
      </w:r>
      <w:r>
        <w:rPr>
          <w:rFonts w:ascii="Times New Roman" w:hAnsi="Times New Roman"/>
          <w:lang w:val="es-ES"/>
        </w:rPr>
        <w:t>., “Las Constituciones de entreguer</w:t>
      </w:r>
      <w:r>
        <w:rPr>
          <w:rFonts w:ascii="Times New Roman" w:hAnsi="Times New Roman"/>
          <w:lang w:val="es-ES"/>
        </w:rPr>
        <w:t>ras en Europa central”, en Fundamentos. Cuadernos monográficos de teoría del Estado, derecho público e historia constitucional, núm. 2, Oviedo, 2000, pp. 593 y ss.,</w:t>
      </w:r>
      <w:r>
        <w:rPr>
          <w:rFonts w:ascii="Times New Roman" w:hAnsi="Times New Roman"/>
          <w:lang w:val="es-AR"/>
        </w:rPr>
        <w:t xml:space="preserve"> </w:t>
      </w:r>
      <w:r>
        <w:rPr>
          <w:rFonts w:ascii="Times New Roman" w:hAnsi="Times New Roman"/>
          <w:highlight w:val="yellow"/>
          <w:lang w:val="es-AR"/>
        </w:rPr>
        <w:t>HERRERA, C. M.,</w:t>
      </w:r>
      <w:r>
        <w:rPr>
          <w:rFonts w:ascii="Times New Roman" w:hAnsi="Times New Roman"/>
          <w:lang w:val="es-AR"/>
        </w:rPr>
        <w:t xml:space="preserve"> “Estado, constitución y derechos sociales”, cit., pp. 32-43; </w:t>
      </w:r>
      <w:r>
        <w:rPr>
          <w:rFonts w:ascii="Times New Roman" w:hAnsi="Times New Roman"/>
          <w:highlight w:val="yellow"/>
          <w:lang w:val="es-AR"/>
        </w:rPr>
        <w:t>BUITRAGO GUZMA</w:t>
      </w:r>
      <w:r>
        <w:rPr>
          <w:rFonts w:ascii="Times New Roman" w:hAnsi="Times New Roman"/>
          <w:highlight w:val="yellow"/>
          <w:lang w:val="es-AR"/>
        </w:rPr>
        <w:t>N, M. R.</w:t>
      </w:r>
      <w:r>
        <w:rPr>
          <w:rFonts w:ascii="Times New Roman" w:hAnsi="Times New Roman"/>
          <w:lang w:val="es-AR"/>
        </w:rPr>
        <w:t xml:space="preserve">, “Análisis comparado de los inicios del constitucionalismo social”, en MARQUARDT, Bernd (ed.), </w:t>
      </w:r>
      <w:r>
        <w:rPr>
          <w:rFonts w:ascii="Times New Roman" w:hAnsi="Times New Roman"/>
          <w:i/>
          <w:lang w:val="es-AR"/>
        </w:rPr>
        <w:t>Constitucionalismo comparado. Acercamientos Metodológicos, Históricos y Teóricos</w:t>
      </w:r>
      <w:r>
        <w:rPr>
          <w:rFonts w:ascii="Times New Roman" w:hAnsi="Times New Roman"/>
          <w:lang w:val="es-AR"/>
        </w:rPr>
        <w:t xml:space="preserve">, Universidad Nacional de Colombia, UNIJUS, Bogotá, 2009,  pp. 391-422; </w:t>
      </w:r>
      <w:r>
        <w:rPr>
          <w:rFonts w:ascii="Times New Roman" w:hAnsi="Times New Roman"/>
          <w:highlight w:val="yellow"/>
          <w:lang w:val="es-AR"/>
        </w:rPr>
        <w:t>PISARELLO, G</w:t>
      </w:r>
      <w:r>
        <w:rPr>
          <w:rFonts w:ascii="Times New Roman" w:hAnsi="Times New Roman"/>
          <w:lang w:val="es-AR"/>
        </w:rPr>
        <w:t xml:space="preserve">., </w:t>
      </w:r>
      <w:r>
        <w:rPr>
          <w:rFonts w:ascii="Times New Roman" w:hAnsi="Times New Roman"/>
          <w:i/>
          <w:lang w:val="es-AR"/>
        </w:rPr>
        <w:t>Un largo Termidor. La ofensiva del constitucionalismo antidemocrático</w:t>
      </w:r>
      <w:r>
        <w:rPr>
          <w:rFonts w:ascii="Times New Roman" w:hAnsi="Times New Roman"/>
          <w:lang w:val="es-AR"/>
        </w:rPr>
        <w:t>, cit., pp.121-130.</w:t>
      </w:r>
    </w:p>
  </w:footnote>
  <w:footnote w:id="9">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AR"/>
        </w:rPr>
        <w:t>DE LA CUEVA, M.</w:t>
      </w:r>
      <w:r>
        <w:rPr>
          <w:rFonts w:ascii="Times New Roman" w:hAnsi="Times New Roman"/>
          <w:lang w:val="es-AR"/>
        </w:rPr>
        <w:t xml:space="preserve">, </w:t>
      </w:r>
      <w:r>
        <w:rPr>
          <w:rFonts w:ascii="Times New Roman" w:hAnsi="Times New Roman"/>
          <w:i/>
          <w:lang w:val="es-AR"/>
        </w:rPr>
        <w:t>Derecho</w:t>
      </w:r>
      <w:r>
        <w:rPr>
          <w:rFonts w:ascii="Times New Roman" w:hAnsi="Times New Roman"/>
          <w:lang w:val="es-AR"/>
        </w:rPr>
        <w:t xml:space="preserve"> </w:t>
      </w:r>
      <w:r>
        <w:rPr>
          <w:rFonts w:ascii="Times New Roman" w:hAnsi="Times New Roman"/>
          <w:i/>
          <w:lang w:val="es-AR"/>
        </w:rPr>
        <w:t>mexicano del trabajo</w:t>
      </w:r>
      <w:r>
        <w:rPr>
          <w:rFonts w:ascii="Times New Roman" w:hAnsi="Times New Roman"/>
          <w:lang w:val="es-AR"/>
        </w:rPr>
        <w:t xml:space="preserve">, 2da. Ed., Porrúa, México, 1943; </w:t>
      </w:r>
      <w:r>
        <w:rPr>
          <w:rFonts w:ascii="Times New Roman" w:hAnsi="Times New Roman"/>
          <w:highlight w:val="yellow"/>
          <w:lang w:val="es-AR"/>
        </w:rPr>
        <w:t>MANZANILLA SCHAFFER, V.</w:t>
      </w:r>
      <w:r>
        <w:rPr>
          <w:rFonts w:ascii="Times New Roman" w:hAnsi="Times New Roman"/>
          <w:lang w:val="es-AR"/>
        </w:rPr>
        <w:t>, “Aspectos sociales de la Constitución de 1</w:t>
      </w:r>
      <w:r>
        <w:rPr>
          <w:rFonts w:ascii="Times New Roman" w:hAnsi="Times New Roman"/>
          <w:lang w:val="es-AR"/>
        </w:rPr>
        <w:t xml:space="preserve">917”, en Revista de la Facultad de Derecho de México, Número 22 Abril-Junio1956, pp. 169-180; </w:t>
      </w:r>
      <w:r>
        <w:rPr>
          <w:rFonts w:ascii="Times New Roman" w:hAnsi="Times New Roman"/>
          <w:highlight w:val="yellow"/>
          <w:lang w:val="es-AR"/>
        </w:rPr>
        <w:t>ROUAIX, P.,</w:t>
      </w:r>
      <w:r>
        <w:rPr>
          <w:rFonts w:ascii="Times New Roman" w:hAnsi="Times New Roman"/>
          <w:lang w:val="es-AR"/>
        </w:rPr>
        <w:t xml:space="preserve"> </w:t>
      </w:r>
      <w:r>
        <w:rPr>
          <w:rFonts w:ascii="Times New Roman" w:hAnsi="Times New Roman"/>
          <w:i/>
          <w:lang w:val="es-AR"/>
        </w:rPr>
        <w:t>Génesis de los artículos 27 y 123 de la Constitución Política de 1917</w:t>
      </w:r>
      <w:r>
        <w:rPr>
          <w:rFonts w:ascii="Times New Roman" w:hAnsi="Times New Roman"/>
          <w:lang w:val="es-AR"/>
        </w:rPr>
        <w:t>, 2da. ed., Biblioteca del Instituto Nacional de Estudios Históricos sobre la Rev</w:t>
      </w:r>
      <w:r>
        <w:rPr>
          <w:rFonts w:ascii="Times New Roman" w:hAnsi="Times New Roman"/>
          <w:lang w:val="es-AR"/>
        </w:rPr>
        <w:t>olución Mexicana,  México, Puebla, 1959</w:t>
      </w:r>
      <w:r>
        <w:rPr>
          <w:rFonts w:ascii="Times New Roman" w:hAnsi="Times New Roman"/>
          <w:highlight w:val="yellow"/>
          <w:lang w:val="es-AR"/>
        </w:rPr>
        <w:t>; TRUEBA URBINA, A.,</w:t>
      </w:r>
      <w:r>
        <w:rPr>
          <w:rFonts w:ascii="Times New Roman" w:hAnsi="Times New Roman"/>
          <w:lang w:val="es-AR"/>
        </w:rPr>
        <w:t xml:space="preserve"> </w:t>
      </w:r>
      <w:r>
        <w:rPr>
          <w:rFonts w:ascii="Times New Roman" w:hAnsi="Times New Roman"/>
          <w:i/>
          <w:lang w:val="es-AR"/>
        </w:rPr>
        <w:t>El nuevo artículo 123</w:t>
      </w:r>
      <w:r>
        <w:rPr>
          <w:rFonts w:ascii="Times New Roman" w:hAnsi="Times New Roman"/>
          <w:lang w:val="es-AR"/>
        </w:rPr>
        <w:t xml:space="preserve">, Porrúa, México, 1962; </w:t>
      </w:r>
      <w:r>
        <w:rPr>
          <w:rFonts w:ascii="Times New Roman" w:hAnsi="Times New Roman"/>
          <w:highlight w:val="yellow"/>
          <w:lang w:val="es-AR"/>
        </w:rPr>
        <w:t>GARCÍA RAMÍREZ, S</w:t>
      </w:r>
      <w:r>
        <w:rPr>
          <w:rFonts w:ascii="Times New Roman" w:hAnsi="Times New Roman"/>
          <w:lang w:val="es-AR"/>
        </w:rPr>
        <w:t xml:space="preserve">., “Tres textos precursores en el constitucionalismo social”, cit.; </w:t>
      </w:r>
      <w:r>
        <w:rPr>
          <w:rFonts w:ascii="Times New Roman" w:hAnsi="Times New Roman"/>
          <w:highlight w:val="yellow"/>
          <w:lang w:val="es-AR"/>
        </w:rPr>
        <w:t>TRUEBA URBINA, A</w:t>
      </w:r>
      <w:r>
        <w:rPr>
          <w:rFonts w:ascii="Times New Roman" w:hAnsi="Times New Roman"/>
          <w:lang w:val="es-AR"/>
        </w:rPr>
        <w:t xml:space="preserve">., </w:t>
      </w:r>
      <w:r>
        <w:rPr>
          <w:rFonts w:ascii="Times New Roman" w:hAnsi="Times New Roman"/>
          <w:i/>
          <w:lang w:val="es-AR"/>
        </w:rPr>
        <w:t>La primera Constitución político-social del mun</w:t>
      </w:r>
      <w:r>
        <w:rPr>
          <w:rFonts w:ascii="Times New Roman" w:hAnsi="Times New Roman"/>
          <w:i/>
          <w:lang w:val="es-AR"/>
        </w:rPr>
        <w:t>do</w:t>
      </w:r>
      <w:r>
        <w:rPr>
          <w:rFonts w:ascii="Times New Roman" w:hAnsi="Times New Roman"/>
          <w:lang w:val="es-AR"/>
        </w:rPr>
        <w:t xml:space="preserve">, Porrúa, México, 1971; </w:t>
      </w:r>
      <w:r>
        <w:rPr>
          <w:rFonts w:ascii="Times New Roman" w:hAnsi="Times New Roman"/>
          <w:highlight w:val="yellow"/>
          <w:lang w:val="es-AR"/>
        </w:rPr>
        <w:t>VILABONA, M. P</w:t>
      </w:r>
      <w:r>
        <w:rPr>
          <w:rFonts w:ascii="Times New Roman" w:hAnsi="Times New Roman"/>
          <w:lang w:val="es-AR"/>
        </w:rPr>
        <w:t xml:space="preserve">., “La constitución mexicana de 1917 y la española de 1931”, en Revista de Estudios Políticos (Nueva Época),  Núms. 31-32. Enero-Abril 1983, pp. 199-208; </w:t>
      </w:r>
      <w:r>
        <w:rPr>
          <w:rFonts w:ascii="Times New Roman" w:hAnsi="Times New Roman"/>
          <w:highlight w:val="yellow"/>
          <w:lang w:val="es-AR"/>
        </w:rPr>
        <w:t>NORIEGA, A</w:t>
      </w:r>
      <w:r>
        <w:rPr>
          <w:rFonts w:ascii="Times New Roman" w:hAnsi="Times New Roman"/>
          <w:lang w:val="es-AR"/>
        </w:rPr>
        <w:t xml:space="preserve">., </w:t>
      </w:r>
      <w:r>
        <w:rPr>
          <w:rFonts w:ascii="Times New Roman" w:hAnsi="Times New Roman"/>
          <w:i/>
          <w:lang w:val="es-AR"/>
        </w:rPr>
        <w:t xml:space="preserve">Los derechos sociales, creación de la Revolución </w:t>
      </w:r>
      <w:r>
        <w:rPr>
          <w:rFonts w:ascii="Times New Roman" w:hAnsi="Times New Roman"/>
          <w:i/>
          <w:lang w:val="es-AR"/>
        </w:rPr>
        <w:t>de 1910 y la Constitución de 1917</w:t>
      </w:r>
      <w:r>
        <w:rPr>
          <w:rFonts w:ascii="Times New Roman" w:hAnsi="Times New Roman"/>
          <w:lang w:val="es-AR"/>
        </w:rPr>
        <w:t>, UNAM, México, UNAM, 1988</w:t>
      </w:r>
      <w:r>
        <w:rPr>
          <w:rFonts w:ascii="Times New Roman" w:hAnsi="Times New Roman"/>
          <w:highlight w:val="yellow"/>
          <w:lang w:val="es-AR"/>
        </w:rPr>
        <w:t>; COSSIO DIAZ, J. R</w:t>
      </w:r>
      <w:r>
        <w:rPr>
          <w:rFonts w:ascii="Times New Roman" w:hAnsi="Times New Roman"/>
          <w:lang w:val="es-AR"/>
        </w:rPr>
        <w:t xml:space="preserve">., “Los derechos sociales como normas programáticas y la comprensión política de la Constitución, en VV.AA., </w:t>
      </w:r>
      <w:r>
        <w:rPr>
          <w:rFonts w:ascii="Times New Roman" w:hAnsi="Times New Roman"/>
          <w:i/>
          <w:lang w:val="es-AR"/>
        </w:rPr>
        <w:t>Ochenta años de vida constitucional de México</w:t>
      </w:r>
      <w:r>
        <w:rPr>
          <w:rFonts w:ascii="Times New Roman" w:hAnsi="Times New Roman"/>
          <w:lang w:val="es-AR"/>
        </w:rPr>
        <w:t>, Cámara de Diputados-In</w:t>
      </w:r>
      <w:r>
        <w:rPr>
          <w:rFonts w:ascii="Times New Roman" w:hAnsi="Times New Roman"/>
          <w:lang w:val="es-AR"/>
        </w:rPr>
        <w:t xml:space="preserve">stituto de Investigaciones Jurídicas, México, 1998 pp. 295-328; </w:t>
      </w:r>
      <w:r>
        <w:rPr>
          <w:rFonts w:ascii="Times New Roman" w:hAnsi="Times New Roman"/>
          <w:highlight w:val="yellow"/>
          <w:lang w:val="es-AR"/>
        </w:rPr>
        <w:t>DE BUEN, N.,</w:t>
      </w:r>
      <w:r>
        <w:rPr>
          <w:rFonts w:ascii="Times New Roman" w:hAnsi="Times New Roman"/>
          <w:lang w:val="es-AR"/>
        </w:rPr>
        <w:t xml:space="preserve"> </w:t>
      </w:r>
      <w:r>
        <w:rPr>
          <w:rFonts w:ascii="Times New Roman" w:hAnsi="Times New Roman"/>
          <w:i/>
          <w:lang w:val="es-AR"/>
        </w:rPr>
        <w:t>La decadencia del derecho del trabajo</w:t>
      </w:r>
      <w:r>
        <w:rPr>
          <w:rFonts w:ascii="Times New Roman" w:hAnsi="Times New Roman"/>
          <w:lang w:val="es-AR"/>
        </w:rPr>
        <w:t xml:space="preserve">, Porrúa, México, 2001; </w:t>
      </w:r>
      <w:r>
        <w:rPr>
          <w:rFonts w:ascii="Times New Roman" w:hAnsi="Times New Roman"/>
          <w:lang w:val="es-ES"/>
        </w:rPr>
        <w:t xml:space="preserve"> </w:t>
      </w:r>
      <w:r>
        <w:rPr>
          <w:rFonts w:ascii="Times New Roman" w:hAnsi="Times New Roman"/>
          <w:highlight w:val="yellow"/>
          <w:lang w:val="es-AR"/>
        </w:rPr>
        <w:t>HERRERA, C. M.</w:t>
      </w:r>
      <w:r>
        <w:rPr>
          <w:rFonts w:ascii="Times New Roman" w:hAnsi="Times New Roman"/>
          <w:lang w:val="es-AR"/>
        </w:rPr>
        <w:t>, “Estado, constitución y derechos sociales”, cit., pp. 33-37.</w:t>
      </w:r>
    </w:p>
  </w:footnote>
  <w:footnote w:id="10">
    <w:p w:rsidR="00000000" w:rsidRDefault="007B5A38">
      <w:pPr>
        <w:pStyle w:val="Textonotapie"/>
        <w:rPr>
          <w:rFonts w:ascii="Times New Roman" w:hAnsi="Times New Roman"/>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AR"/>
        </w:rPr>
        <w:t>DENISOV, A. y KIRICHENKO, M.</w:t>
      </w:r>
      <w:r>
        <w:rPr>
          <w:rFonts w:ascii="Times New Roman" w:hAnsi="Times New Roman"/>
          <w:lang w:val="es-AR"/>
        </w:rPr>
        <w:t xml:space="preserve">, </w:t>
      </w:r>
      <w:r>
        <w:rPr>
          <w:rFonts w:ascii="Times New Roman" w:hAnsi="Times New Roman"/>
          <w:i/>
          <w:lang w:val="es-AR"/>
        </w:rPr>
        <w:t>Dere</w:t>
      </w:r>
      <w:r>
        <w:rPr>
          <w:rFonts w:ascii="Times New Roman" w:hAnsi="Times New Roman"/>
          <w:i/>
          <w:lang w:val="es-AR"/>
        </w:rPr>
        <w:t>cho constitucional soviético</w:t>
      </w:r>
      <w:r>
        <w:rPr>
          <w:rFonts w:ascii="Times New Roman" w:hAnsi="Times New Roman"/>
          <w:lang w:val="es-AR"/>
        </w:rPr>
        <w:t xml:space="preserve">, Ediciones en Lenguas Extranjeras, Moscú, 1959, pp. 309-341; </w:t>
      </w:r>
      <w:r>
        <w:rPr>
          <w:rFonts w:ascii="Times New Roman" w:hAnsi="Times New Roman"/>
          <w:highlight w:val="yellow"/>
          <w:lang w:val="es-AR"/>
        </w:rPr>
        <w:t>KOTOK, V.,</w:t>
      </w:r>
      <w:r>
        <w:rPr>
          <w:rFonts w:ascii="Times New Roman" w:hAnsi="Times New Roman"/>
          <w:lang w:val="es-AR"/>
        </w:rPr>
        <w:t xml:space="preserve"> “El derecho constitucional soviético”, trad. de J. Echenique, en ROMASHKIN, P. (ed.), </w:t>
      </w:r>
      <w:r>
        <w:rPr>
          <w:rFonts w:ascii="Times New Roman" w:hAnsi="Times New Roman"/>
          <w:i/>
          <w:lang w:val="es-AR"/>
        </w:rPr>
        <w:t>Fundamentos del derecho soviético</w:t>
      </w:r>
      <w:r>
        <w:rPr>
          <w:rFonts w:ascii="Times New Roman" w:hAnsi="Times New Roman"/>
          <w:lang w:val="es-AR"/>
        </w:rPr>
        <w:t xml:space="preserve">, Ediciones en Lenguas Extranjeras, </w:t>
      </w:r>
      <w:r>
        <w:rPr>
          <w:rFonts w:ascii="Times New Roman" w:hAnsi="Times New Roman"/>
          <w:lang w:val="es-AR"/>
        </w:rPr>
        <w:t xml:space="preserve">Moscú, 1962, pp. 32 y ss.; </w:t>
      </w:r>
      <w:r>
        <w:rPr>
          <w:rFonts w:ascii="Times New Roman" w:hAnsi="Times New Roman"/>
          <w:highlight w:val="yellow"/>
          <w:lang w:val="es-AR"/>
        </w:rPr>
        <w:t>GARCÍA RAMÍREZ, S</w:t>
      </w:r>
      <w:r>
        <w:rPr>
          <w:rFonts w:ascii="Times New Roman" w:hAnsi="Times New Roman"/>
          <w:lang w:val="es-AR"/>
        </w:rPr>
        <w:t xml:space="preserve">., “Tres textos precursores en el constitucionalismo social”, cit.; </w:t>
      </w:r>
      <w:r>
        <w:rPr>
          <w:rFonts w:ascii="Times New Roman" w:hAnsi="Times New Roman"/>
          <w:highlight w:val="yellow"/>
          <w:lang w:val="es-AR"/>
        </w:rPr>
        <w:t>HERRERA, C. M.</w:t>
      </w:r>
      <w:r>
        <w:rPr>
          <w:rFonts w:ascii="Times New Roman" w:hAnsi="Times New Roman"/>
          <w:lang w:val="es-AR"/>
        </w:rPr>
        <w:t>, “Estado, constitución y derechos sociales”, cit., pp. 37-38.</w:t>
      </w:r>
    </w:p>
  </w:footnote>
  <w:footnote w:id="11">
    <w:p w:rsidR="00000000" w:rsidRDefault="007B5A38">
      <w:pPr>
        <w:pStyle w:val="Textonotapie"/>
        <w:rPr>
          <w:rFonts w:ascii="Times New Roman" w:hAnsi="Times New Roman"/>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AR"/>
        </w:rPr>
        <w:t>DENISOV, A. y KIRICHENKO, M.</w:t>
      </w:r>
      <w:r>
        <w:rPr>
          <w:rFonts w:ascii="Times New Roman" w:hAnsi="Times New Roman"/>
          <w:lang w:val="es-AR"/>
        </w:rPr>
        <w:t xml:space="preserve">, </w:t>
      </w:r>
      <w:r>
        <w:rPr>
          <w:rFonts w:ascii="Times New Roman" w:hAnsi="Times New Roman"/>
          <w:i/>
          <w:lang w:val="es-AR"/>
        </w:rPr>
        <w:t>Derecho constitucional soviétic</w:t>
      </w:r>
      <w:r>
        <w:rPr>
          <w:rFonts w:ascii="Times New Roman" w:hAnsi="Times New Roman"/>
          <w:i/>
          <w:lang w:val="es-AR"/>
        </w:rPr>
        <w:t>o</w:t>
      </w:r>
      <w:r>
        <w:rPr>
          <w:rFonts w:ascii="Times New Roman" w:hAnsi="Times New Roman"/>
          <w:lang w:val="es-AR"/>
        </w:rPr>
        <w:t xml:space="preserve">, cit.; </w:t>
      </w:r>
      <w:r>
        <w:rPr>
          <w:rFonts w:ascii="Times New Roman" w:hAnsi="Times New Roman"/>
          <w:highlight w:val="yellow"/>
          <w:lang w:val="es-AR"/>
        </w:rPr>
        <w:t>KOTOK, V.</w:t>
      </w:r>
      <w:r>
        <w:rPr>
          <w:rFonts w:ascii="Times New Roman" w:hAnsi="Times New Roman"/>
          <w:lang w:val="es-AR"/>
        </w:rPr>
        <w:t xml:space="preserve">, “El derecho constitucional soviético”, cit.; </w:t>
      </w:r>
      <w:r>
        <w:rPr>
          <w:rFonts w:ascii="Times New Roman" w:hAnsi="Times New Roman"/>
          <w:highlight w:val="yellow"/>
          <w:lang w:val="es-AR"/>
        </w:rPr>
        <w:t>BISCARETTI DI RUFFIA, P.</w:t>
      </w:r>
      <w:r>
        <w:rPr>
          <w:rFonts w:ascii="Times New Roman" w:hAnsi="Times New Roman"/>
          <w:lang w:val="es-AR"/>
        </w:rPr>
        <w:t xml:space="preserve">, </w:t>
      </w:r>
      <w:r>
        <w:rPr>
          <w:rFonts w:ascii="Times New Roman" w:hAnsi="Times New Roman"/>
          <w:i/>
          <w:lang w:val="es-AR"/>
        </w:rPr>
        <w:t>Introducción al derecho constitucional comparado</w:t>
      </w:r>
      <w:r>
        <w:rPr>
          <w:rFonts w:ascii="Times New Roman" w:hAnsi="Times New Roman"/>
          <w:lang w:val="es-AR"/>
        </w:rPr>
        <w:t>, trad. de H. Fix-Zamudio, Fondo de Cultura Económica, México, 1996, 345- 389.</w:t>
      </w:r>
    </w:p>
  </w:footnote>
  <w:footnote w:id="12">
    <w:p w:rsidR="00000000" w:rsidRDefault="007B5A38">
      <w:pPr>
        <w:pStyle w:val="Textonotapie"/>
        <w:rPr>
          <w:rFonts w:ascii="Times New Roman" w:hAnsi="Times New Roman"/>
        </w:rPr>
      </w:pPr>
      <w:r>
        <w:rPr>
          <w:rStyle w:val="Refdenotaalpie"/>
          <w:rFonts w:ascii="Times New Roman" w:hAnsi="Times New Roman"/>
        </w:rPr>
        <w:footnoteRef/>
      </w:r>
      <w:r>
        <w:rPr>
          <w:rFonts w:ascii="Times New Roman" w:hAnsi="Times New Roman"/>
          <w:lang w:val="es-AR"/>
        </w:rPr>
        <w:t xml:space="preserve"> Sobre la influencia de la constituci</w:t>
      </w:r>
      <w:r>
        <w:rPr>
          <w:rFonts w:ascii="Times New Roman" w:hAnsi="Times New Roman"/>
          <w:lang w:val="es-AR"/>
        </w:rPr>
        <w:t xml:space="preserve">ón soviética de 1936 sobre la constitución de la República Popular China de 1954, ver </w:t>
      </w:r>
      <w:r>
        <w:rPr>
          <w:rFonts w:ascii="Times New Roman" w:hAnsi="Times New Roman"/>
          <w:highlight w:val="yellow"/>
          <w:lang w:val="es-ES"/>
        </w:rPr>
        <w:t>PÉREZ AYALA, A</w:t>
      </w:r>
      <w:r>
        <w:rPr>
          <w:rFonts w:ascii="Times New Roman" w:hAnsi="Times New Roman"/>
          <w:lang w:val="es-ES"/>
        </w:rPr>
        <w:t xml:space="preserve">., “La larga marcha constitucional de la República Popular China. El período de Mao Tse-tung”, en </w:t>
      </w:r>
      <w:r>
        <w:rPr>
          <w:rFonts w:ascii="Times New Roman" w:hAnsi="Times New Roman"/>
          <w:i/>
          <w:iCs/>
          <w:lang w:val="es-AR"/>
        </w:rPr>
        <w:t xml:space="preserve">Revista de Estudios Políticos </w:t>
      </w:r>
      <w:r>
        <w:rPr>
          <w:rFonts w:ascii="Times New Roman" w:hAnsi="Times New Roman"/>
          <w:lang w:val="es-AR"/>
        </w:rPr>
        <w:t>(nueva época),  Núm. 129, Ma</w:t>
      </w:r>
      <w:r>
        <w:rPr>
          <w:rFonts w:ascii="Times New Roman" w:hAnsi="Times New Roman"/>
          <w:lang w:val="es-AR"/>
        </w:rPr>
        <w:t xml:space="preserve">drid, julio-septiembre (2005), págs. </w:t>
      </w:r>
      <w:r>
        <w:rPr>
          <w:rFonts w:ascii="Times New Roman" w:hAnsi="Times New Roman"/>
        </w:rPr>
        <w:t>39-87.</w:t>
      </w:r>
    </w:p>
  </w:footnote>
  <w:footnote w:id="13">
    <w:p w:rsidR="00000000" w:rsidRDefault="007B5A38">
      <w:pPr>
        <w:pStyle w:val="Textonotapie"/>
        <w:rPr>
          <w:rFonts w:ascii="Times New Roman" w:hAnsi="Times New Roman"/>
          <w:lang w:val="es-AR"/>
        </w:rPr>
      </w:pPr>
      <w:r>
        <w:rPr>
          <w:rStyle w:val="Refdenotaalpie"/>
        </w:rPr>
        <w:footnoteRef/>
      </w:r>
      <w:r>
        <w:t xml:space="preserve"> </w:t>
      </w:r>
      <w:r>
        <w:rPr>
          <w:rFonts w:ascii="Times New Roman" w:hAnsi="Times New Roman"/>
        </w:rPr>
        <w:t xml:space="preserve">Ver </w:t>
      </w:r>
      <w:r>
        <w:rPr>
          <w:rFonts w:ascii="Times New Roman" w:hAnsi="Times New Roman"/>
          <w:highlight w:val="yellow"/>
        </w:rPr>
        <w:t>CALDWELL, P. C.</w:t>
      </w:r>
      <w:r>
        <w:rPr>
          <w:rFonts w:ascii="Times New Roman" w:hAnsi="Times New Roman"/>
        </w:rPr>
        <w:t xml:space="preserve">, </w:t>
      </w:r>
      <w:r>
        <w:rPr>
          <w:rFonts w:ascii="Times New Roman" w:hAnsi="Times New Roman"/>
          <w:i/>
        </w:rPr>
        <w:t>Popular Sovereignty and the Crisis of German Constitutional Law: the Theory and Practice of Weimar Constitutionalism</w:t>
      </w:r>
      <w:r>
        <w:rPr>
          <w:rFonts w:ascii="Times New Roman" w:hAnsi="Times New Roman"/>
        </w:rPr>
        <w:t xml:space="preserve">, Duke University Press, Durham, 1997; </w:t>
      </w:r>
      <w:r>
        <w:rPr>
          <w:rFonts w:ascii="Times New Roman" w:hAnsi="Times New Roman"/>
          <w:highlight w:val="yellow"/>
        </w:rPr>
        <w:t>CARMONA CUENCA, E.</w:t>
      </w:r>
      <w:r>
        <w:rPr>
          <w:rFonts w:ascii="Times New Roman" w:hAnsi="Times New Roman"/>
        </w:rPr>
        <w:t>, </w:t>
      </w:r>
      <w:r>
        <w:rPr>
          <w:rFonts w:ascii="Times New Roman" w:hAnsi="Times New Roman"/>
          <w:i/>
          <w:iCs/>
        </w:rPr>
        <w:t>El Estado Soci</w:t>
      </w:r>
      <w:r>
        <w:rPr>
          <w:rFonts w:ascii="Times New Roman" w:hAnsi="Times New Roman"/>
          <w:i/>
          <w:iCs/>
        </w:rPr>
        <w:t>al de Derecho en la Constitución </w:t>
      </w:r>
      <w:r>
        <w:rPr>
          <w:rFonts w:ascii="Times New Roman" w:hAnsi="Times New Roman"/>
        </w:rPr>
        <w:t>(Madrid).  </w:t>
      </w:r>
      <w:r>
        <w:rPr>
          <w:rFonts w:ascii="Times New Roman" w:hAnsi="Times New Roman"/>
          <w:lang w:val="es-AR"/>
        </w:rPr>
        <w:t>Consejo Económico y Social., Madrid, 2000, pp. 43 y ss.;</w:t>
      </w:r>
      <w:r>
        <w:rPr>
          <w:sz w:val="22"/>
          <w:szCs w:val="22"/>
          <w:highlight w:val="yellow"/>
          <w:lang w:val="es-AR"/>
        </w:rPr>
        <w:t xml:space="preserve"> </w:t>
      </w:r>
      <w:r>
        <w:rPr>
          <w:rFonts w:ascii="Times New Roman" w:hAnsi="Times New Roman"/>
          <w:highlight w:val="yellow"/>
          <w:lang w:val="es-AR"/>
        </w:rPr>
        <w:t>HERRERA, C. M.</w:t>
      </w:r>
      <w:r>
        <w:rPr>
          <w:rFonts w:ascii="Times New Roman" w:hAnsi="Times New Roman"/>
          <w:lang w:val="es-AR"/>
        </w:rPr>
        <w:t xml:space="preserve">, “Estado, constitución y derechos sociales”, cit., pp. 38-43; </w:t>
      </w:r>
      <w:r>
        <w:rPr>
          <w:rFonts w:ascii="Times New Roman" w:hAnsi="Times New Roman"/>
          <w:highlight w:val="yellow"/>
          <w:lang w:val="es-AR"/>
        </w:rPr>
        <w:t>HÄNNINEN, S</w:t>
      </w:r>
      <w:r>
        <w:rPr>
          <w:rFonts w:ascii="Times New Roman" w:hAnsi="Times New Roman"/>
          <w:lang w:val="es-AR"/>
        </w:rPr>
        <w:t>., “Social constitution in historical perspective : Hugo Sinzheimer</w:t>
      </w:r>
      <w:r>
        <w:rPr>
          <w:rFonts w:ascii="Times New Roman" w:hAnsi="Times New Roman"/>
          <w:lang w:val="es-AR"/>
        </w:rPr>
        <w:t xml:space="preserve"> in the Weimar context”, en TUORI, K. y SANKARI, S. (eds.), </w:t>
      </w:r>
      <w:r>
        <w:rPr>
          <w:rFonts w:ascii="Times New Roman" w:hAnsi="Times New Roman"/>
          <w:i/>
          <w:lang w:val="es-AR"/>
        </w:rPr>
        <w:t>The many constitutions of Europe</w:t>
      </w:r>
      <w:r>
        <w:rPr>
          <w:rFonts w:ascii="Times New Roman" w:hAnsi="Times New Roman"/>
          <w:lang w:val="es-AR"/>
        </w:rPr>
        <w:t xml:space="preserve">, Ashgate, Farnham-Burlington, 2010, pp. 219-240; </w:t>
      </w:r>
      <w:r>
        <w:rPr>
          <w:rFonts w:ascii="Times New Roman" w:hAnsi="Times New Roman"/>
          <w:highlight w:val="yellow"/>
          <w:lang w:val="es-AR"/>
        </w:rPr>
        <w:t>JELLINEK, W., BÜHLER, O., y MORTATI, C.,</w:t>
      </w:r>
      <w:r>
        <w:rPr>
          <w:rFonts w:ascii="Times New Roman" w:hAnsi="Times New Roman"/>
          <w:lang w:val="es-AR"/>
        </w:rPr>
        <w:t xml:space="preserve"> </w:t>
      </w:r>
      <w:r>
        <w:rPr>
          <w:rFonts w:ascii="Times New Roman" w:hAnsi="Times New Roman"/>
          <w:i/>
          <w:lang w:val="es-AR"/>
        </w:rPr>
        <w:t xml:space="preserve">La Constitución de Weimar, </w:t>
      </w:r>
      <w:r>
        <w:rPr>
          <w:rFonts w:ascii="Times New Roman" w:hAnsi="Times New Roman"/>
          <w:lang w:val="es-AR"/>
        </w:rPr>
        <w:t>trad. de P. Madrigal Deveca, J. Rovira Armengo</w:t>
      </w:r>
      <w:r>
        <w:rPr>
          <w:rFonts w:ascii="Times New Roman" w:hAnsi="Times New Roman"/>
          <w:lang w:val="es-AR"/>
        </w:rPr>
        <w:t>l y J. Luis Aja Sánchez, Tecnos, Madrid, 2010.</w:t>
      </w:r>
    </w:p>
    <w:p w:rsidR="00000000" w:rsidRDefault="007B5A38">
      <w:pPr>
        <w:pStyle w:val="Textonotapie"/>
        <w:rPr>
          <w:lang w:val="es-AR"/>
        </w:rPr>
      </w:pPr>
    </w:p>
  </w:footnote>
  <w:footnote w:id="14">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ES"/>
        </w:rPr>
        <w:t>CORCUERA, J.</w:t>
      </w:r>
      <w:r>
        <w:rPr>
          <w:rFonts w:ascii="Times New Roman" w:hAnsi="Times New Roman"/>
          <w:lang w:val="es-ES"/>
        </w:rPr>
        <w:t xml:space="preserve">, “La Constitución española de 1931 en la historia constitucional comparada”, en Fundamentos. Cuadernos monográficos de teoría del Estado, derecho público e historia constitucional, núm. 2, </w:t>
      </w:r>
      <w:r>
        <w:rPr>
          <w:rFonts w:ascii="Times New Roman" w:hAnsi="Times New Roman"/>
          <w:lang w:val="es-ES"/>
        </w:rPr>
        <w:t>Oviedo, 2000, pp. 629 y ss.</w:t>
      </w:r>
    </w:p>
  </w:footnote>
  <w:footnote w:id="15">
    <w:p w:rsidR="00000000" w:rsidRDefault="007B5A38">
      <w:pPr>
        <w:pStyle w:val="Textonotapie"/>
        <w:rPr>
          <w:rFonts w:ascii="Times New Roman" w:hAnsi="Times New Roman"/>
        </w:rPr>
      </w:pPr>
      <w:r>
        <w:rPr>
          <w:rStyle w:val="Refdenotaalpie"/>
          <w:rFonts w:ascii="Times New Roman" w:hAnsi="Times New Roman"/>
        </w:rPr>
        <w:footnoteRef/>
      </w:r>
      <w:r>
        <w:rPr>
          <w:rFonts w:ascii="Times New Roman" w:hAnsi="Times New Roman"/>
        </w:rPr>
        <w:t xml:space="preserve"> Ver por ejemplo OLOWU, D., </w:t>
      </w:r>
      <w:r>
        <w:rPr>
          <w:rFonts w:ascii="Times New Roman" w:hAnsi="Times New Roman"/>
          <w:i/>
        </w:rPr>
        <w:t>An integrative right-based approach to human development in Africa</w:t>
      </w:r>
      <w:r>
        <w:rPr>
          <w:rFonts w:ascii="Times New Roman" w:hAnsi="Times New Roman"/>
        </w:rPr>
        <w:t>, Pretoria University Law Press, Pretoria, 2009, pp. 94-98</w:t>
      </w:r>
    </w:p>
  </w:footnote>
  <w:footnote w:id="16">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En sentido similar, la Constitución española de 1978 incluye un capítulo</w:t>
      </w:r>
      <w:r>
        <w:rPr>
          <w:rFonts w:ascii="Times New Roman" w:hAnsi="Times New Roman"/>
          <w:lang w:val="es-AR"/>
        </w:rPr>
        <w:t xml:space="preserve"> sobre distingue entre derechos y libertades” y “principios rectores de la política social y económica”. En América latina, la Constitución colombiana de 1991 incorpora una distinción más matizada, al separar el capítulo dedicado a los “derechos económicos</w:t>
      </w:r>
      <w:r>
        <w:rPr>
          <w:rFonts w:ascii="Times New Roman" w:hAnsi="Times New Roman"/>
          <w:lang w:val="es-AR"/>
        </w:rPr>
        <w:t>, sociales y culturales” (capítulo II del II título) del que trata los “derechos fundamentales” (capítulo I del II título), aunque – como veremos – la jurisprudencia de la Corte Constitucional ha diluido en gran medida esa diferencia.</w:t>
      </w:r>
    </w:p>
  </w:footnote>
  <w:footnote w:id="17">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ES"/>
        </w:rPr>
        <w:t>GUSY, C</w:t>
      </w:r>
      <w:r>
        <w:rPr>
          <w:rFonts w:ascii="Times New Roman" w:hAnsi="Times New Roman"/>
          <w:lang w:val="es-ES"/>
        </w:rPr>
        <w:t xml:space="preserve">., “Las </w:t>
      </w:r>
      <w:r>
        <w:rPr>
          <w:rFonts w:ascii="Times New Roman" w:hAnsi="Times New Roman"/>
          <w:lang w:val="es-ES"/>
        </w:rPr>
        <w:t>Constituciones de entreguerras en Europa central”, cit.</w:t>
      </w:r>
    </w:p>
    <w:p w:rsidR="00000000" w:rsidRDefault="007B5A38">
      <w:pPr>
        <w:pStyle w:val="Textonotapie"/>
        <w:rPr>
          <w:lang w:val="es-AR"/>
        </w:rPr>
      </w:pPr>
    </w:p>
  </w:footnote>
  <w:footnote w:id="18">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Para un panorama centrado en el contexto político del constitucionalismo social latinoamericano, ver </w:t>
      </w:r>
      <w:r>
        <w:rPr>
          <w:rFonts w:ascii="Times New Roman" w:hAnsi="Times New Roman"/>
          <w:highlight w:val="yellow"/>
          <w:lang w:val="es-AR"/>
        </w:rPr>
        <w:t>MARQUARDT. B.,</w:t>
      </w:r>
      <w:r>
        <w:rPr>
          <w:rFonts w:ascii="Times New Roman" w:hAnsi="Times New Roman"/>
          <w:lang w:val="es-AR"/>
        </w:rPr>
        <w:t xml:space="preserve"> “La cuarta fase del constitucionalismo iberoamericano: el ascenso del constitucio</w:t>
      </w:r>
      <w:r>
        <w:rPr>
          <w:rFonts w:ascii="Times New Roman" w:hAnsi="Times New Roman"/>
          <w:lang w:val="es-AR"/>
        </w:rPr>
        <w:t xml:space="preserve">nalismo social (1917-1949), en Pensamiento Jurídico núm. 28, Bogotá, mayo-agosto 2010,  pp. 119-164;  </w:t>
      </w:r>
      <w:r>
        <w:rPr>
          <w:rFonts w:ascii="Times New Roman" w:hAnsi="Times New Roman"/>
          <w:highlight w:val="yellow"/>
          <w:lang w:val="es-AR"/>
        </w:rPr>
        <w:t>PISARELLO, G.</w:t>
      </w:r>
      <w:r>
        <w:rPr>
          <w:rFonts w:ascii="Times New Roman" w:hAnsi="Times New Roman"/>
          <w:lang w:val="es-AR"/>
        </w:rPr>
        <w:t xml:space="preserve">, </w:t>
      </w:r>
      <w:r>
        <w:rPr>
          <w:rFonts w:ascii="Times New Roman" w:hAnsi="Times New Roman"/>
          <w:i/>
          <w:lang w:val="es-AR"/>
        </w:rPr>
        <w:t>Un largo Termidor. La ofensiva del constitucionalismo antidemocrático</w:t>
      </w:r>
      <w:r>
        <w:rPr>
          <w:rFonts w:ascii="Times New Roman" w:hAnsi="Times New Roman"/>
          <w:lang w:val="es-AR"/>
        </w:rPr>
        <w:t>, cit., pp. 154-158.</w:t>
      </w:r>
    </w:p>
  </w:footnote>
  <w:footnote w:id="19">
    <w:p w:rsidR="00000000" w:rsidRDefault="007B5A38">
      <w:pPr>
        <w:pStyle w:val="Textonotapie"/>
        <w:rPr>
          <w:lang w:val="es-AR"/>
        </w:rPr>
      </w:pPr>
      <w:r>
        <w:rPr>
          <w:rStyle w:val="Refdenotaalpie"/>
        </w:rPr>
        <w:footnoteRef/>
      </w:r>
      <w:r>
        <w:rPr>
          <w:rFonts w:ascii="Times New Roman" w:hAnsi="Times New Roman"/>
          <w:lang w:val="es-AR"/>
        </w:rPr>
        <w:t xml:space="preserve"> Las constituciones chilena de 1925 y ecuatorian</w:t>
      </w:r>
      <w:r>
        <w:rPr>
          <w:rFonts w:ascii="Times New Roman" w:hAnsi="Times New Roman"/>
          <w:lang w:val="es-AR"/>
        </w:rPr>
        <w:t>a de 1929 incluían ya algunas incipientes disposiciones de orientación social, aunque sin la extensión y articulación de las que revisaremos en esta sección.</w:t>
      </w:r>
    </w:p>
  </w:footnote>
  <w:footnote w:id="20">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También su predecesora, la Constitución de 1919, influida por la constitución mexicana de 1917, </w:t>
      </w:r>
      <w:r>
        <w:rPr>
          <w:rFonts w:ascii="Times New Roman" w:hAnsi="Times New Roman"/>
          <w:lang w:val="es-AR"/>
        </w:rPr>
        <w:t xml:space="preserve">había incluido un capítulo de “Garantías sociales”, con habilitaciones de intervención estatal en materia de propiedad, de tierras comunales indígenas, de recursos naturales y empresas de transporte, derechos del trabajador, consagración de la gratuidad y </w:t>
      </w:r>
      <w:r>
        <w:rPr>
          <w:rFonts w:ascii="Times New Roman" w:hAnsi="Times New Roman"/>
          <w:lang w:val="es-AR"/>
        </w:rPr>
        <w:t>obligatoriedad de la educación primaria y pioneras menciones a derechos de los pueblos y comunidades indígenas.</w:t>
      </w:r>
      <w:r>
        <w:rPr>
          <w:lang w:val="es-AR"/>
        </w:rPr>
        <w:t xml:space="preserve"> </w:t>
      </w:r>
    </w:p>
  </w:footnote>
  <w:footnote w:id="21">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AR"/>
        </w:rPr>
        <w:t>TIRADO MEJÍA, A. y VELÁSQUEZ, M.</w:t>
      </w:r>
      <w:r>
        <w:rPr>
          <w:rFonts w:ascii="Times New Roman" w:hAnsi="Times New Roman"/>
          <w:lang w:val="es-AR"/>
        </w:rPr>
        <w:t xml:space="preserve">, </w:t>
      </w:r>
      <w:r>
        <w:rPr>
          <w:rFonts w:ascii="Times New Roman" w:hAnsi="Times New Roman"/>
          <w:i/>
          <w:iCs/>
          <w:lang w:val="es-AR"/>
        </w:rPr>
        <w:t>La reforma constitucional de 1936</w:t>
      </w:r>
      <w:r>
        <w:rPr>
          <w:rFonts w:ascii="Times New Roman" w:hAnsi="Times New Roman"/>
          <w:iCs/>
          <w:lang w:val="es-AR"/>
        </w:rPr>
        <w:t>,</w:t>
      </w:r>
      <w:r>
        <w:rPr>
          <w:rFonts w:ascii="Times New Roman" w:hAnsi="Times New Roman"/>
          <w:lang w:val="es-AR"/>
        </w:rPr>
        <w:t xml:space="preserve">Fundación Friederich Naumann/ Oveja Negra, Bogotá 1982); </w:t>
      </w:r>
      <w:r>
        <w:rPr>
          <w:rFonts w:ascii="Times New Roman" w:hAnsi="Times New Roman"/>
          <w:bCs/>
          <w:highlight w:val="yellow"/>
          <w:lang w:val="es-AR"/>
        </w:rPr>
        <w:t>BOTERO, S.,</w:t>
      </w:r>
      <w:r>
        <w:rPr>
          <w:rFonts w:ascii="Times New Roman" w:hAnsi="Times New Roman"/>
          <w:bCs/>
          <w:lang w:val="es-AR"/>
        </w:rPr>
        <w:t xml:space="preserve"> </w:t>
      </w:r>
      <w:r>
        <w:rPr>
          <w:rFonts w:ascii="Times New Roman" w:hAnsi="Times New Roman"/>
          <w:bCs/>
          <w:lang w:val="es-AR"/>
        </w:rPr>
        <w:t xml:space="preserve">“La reforma constitucional de 1936, el Estado y las políticas sociales en Colombia”,  en </w:t>
      </w:r>
      <w:r>
        <w:rPr>
          <w:rFonts w:ascii="Times New Roman" w:hAnsi="Times New Roman"/>
          <w:lang w:val="es-AR"/>
        </w:rPr>
        <w:t>Anuario Colombiano de Historia Social y de la Cultura No. 33, 2006, pp. 85-109.</w:t>
      </w:r>
    </w:p>
    <w:p w:rsidR="00000000" w:rsidRDefault="007B5A38">
      <w:pPr>
        <w:pStyle w:val="Textonotapie"/>
        <w:rPr>
          <w:lang w:val="es-AR"/>
        </w:rPr>
      </w:pPr>
    </w:p>
  </w:footnote>
  <w:footnote w:id="22">
    <w:p w:rsidR="00000000" w:rsidRDefault="007B5A38">
      <w:pPr>
        <w:pStyle w:val="Textonotapie"/>
        <w:rPr>
          <w:lang w:val="es-AR"/>
        </w:rPr>
      </w:pPr>
      <w:r>
        <w:rPr>
          <w:rStyle w:val="Refdenotaalpie"/>
        </w:rPr>
        <w:footnoteRef/>
      </w:r>
      <w:r>
        <w:rPr>
          <w:rFonts w:ascii="Times New Roman" w:hAnsi="Times New Roman"/>
          <w:lang w:val="es-AR"/>
        </w:rPr>
        <w:t xml:space="preserve"> Ver </w:t>
      </w:r>
      <w:r>
        <w:rPr>
          <w:rFonts w:ascii="Times New Roman" w:hAnsi="Times New Roman"/>
          <w:highlight w:val="yellow"/>
          <w:lang w:val="es-AR"/>
        </w:rPr>
        <w:t>GUTIÉRREZ SÁNCHEZ, G</w:t>
      </w:r>
      <w:r>
        <w:rPr>
          <w:rFonts w:ascii="Times New Roman" w:hAnsi="Times New Roman"/>
          <w:lang w:val="es-AR"/>
        </w:rPr>
        <w:t xml:space="preserve">., </w:t>
      </w:r>
      <w:r>
        <w:rPr>
          <w:rFonts w:ascii="Times New Roman" w:hAnsi="Times New Roman"/>
          <w:i/>
          <w:lang w:val="es-AR"/>
        </w:rPr>
        <w:t>Constitución de la República de Cuba</w:t>
      </w:r>
      <w:r>
        <w:rPr>
          <w:rFonts w:ascii="Times New Roman" w:hAnsi="Times New Roman"/>
          <w:lang w:val="es-AR"/>
        </w:rPr>
        <w:t>, Lex, La Habana, 194</w:t>
      </w:r>
      <w:r>
        <w:rPr>
          <w:rFonts w:ascii="Times New Roman" w:hAnsi="Times New Roman"/>
          <w:lang w:val="es-AR"/>
        </w:rPr>
        <w:t xml:space="preserve">1; </w:t>
      </w:r>
      <w:r>
        <w:rPr>
          <w:rFonts w:ascii="Times New Roman" w:hAnsi="Times New Roman"/>
          <w:highlight w:val="yellow"/>
          <w:lang w:val="es-AR"/>
        </w:rPr>
        <w:t>CARBONELL CORTINA, N</w:t>
      </w:r>
      <w:r>
        <w:rPr>
          <w:rFonts w:ascii="Times New Roman" w:hAnsi="Times New Roman"/>
          <w:lang w:val="es-AR"/>
        </w:rPr>
        <w:t xml:space="preserve">., </w:t>
      </w:r>
      <w:r>
        <w:rPr>
          <w:rFonts w:ascii="Times New Roman" w:hAnsi="Times New Roman"/>
          <w:i/>
          <w:lang w:val="es-AR"/>
        </w:rPr>
        <w:t>El Espíritu de la Constitución Cubana de 1940, Principios y Doctrina</w:t>
      </w:r>
      <w:r>
        <w:rPr>
          <w:rFonts w:ascii="Times New Roman" w:hAnsi="Times New Roman"/>
          <w:lang w:val="es-AR"/>
        </w:rPr>
        <w:t>, Playor, Madrid, 1974.</w:t>
      </w:r>
    </w:p>
  </w:footnote>
  <w:footnote w:id="23">
    <w:p w:rsidR="00000000" w:rsidRDefault="007B5A38">
      <w:pPr>
        <w:pStyle w:val="Textonotapie"/>
        <w:rPr>
          <w:rFonts w:ascii="Times New Roman" w:hAnsi="Times New Roman"/>
          <w:lang w:val="es-AR"/>
        </w:rPr>
      </w:pPr>
      <w:r>
        <w:rPr>
          <w:rStyle w:val="Refdenotaalpie"/>
        </w:rPr>
        <w:footnoteRef/>
      </w:r>
      <w:r>
        <w:rPr>
          <w:rFonts w:ascii="Times New Roman" w:hAnsi="Times New Roman"/>
          <w:lang w:val="es-AR"/>
        </w:rPr>
        <w:t xml:space="preserve"> Ver </w:t>
      </w:r>
      <w:r>
        <w:rPr>
          <w:rFonts w:ascii="Times New Roman" w:hAnsi="Times New Roman"/>
          <w:highlight w:val="yellow"/>
          <w:lang w:val="es-AR"/>
        </w:rPr>
        <w:t>RICORD, H.,</w:t>
      </w:r>
      <w:r>
        <w:rPr>
          <w:rFonts w:ascii="Times New Roman" w:hAnsi="Times New Roman"/>
          <w:i/>
          <w:sz w:val="22"/>
          <w:szCs w:val="22"/>
          <w:lang w:val="es-AR"/>
        </w:rPr>
        <w:t xml:space="preserve"> </w:t>
      </w:r>
      <w:r>
        <w:rPr>
          <w:rFonts w:ascii="Times New Roman" w:hAnsi="Times New Roman"/>
          <w:i/>
          <w:lang w:val="es-AR"/>
        </w:rPr>
        <w:t>Las constituciones panameñas del siglo XX</w:t>
      </w:r>
      <w:r>
        <w:rPr>
          <w:rFonts w:ascii="Times New Roman" w:hAnsi="Times New Roman"/>
          <w:lang w:val="es-AR"/>
        </w:rPr>
        <w:t xml:space="preserve">, Editora Pérez y Pérez, Panamá, 1987 y “Constitución, democracia y autocracia </w:t>
      </w:r>
      <w:r>
        <w:rPr>
          <w:rFonts w:ascii="Times New Roman" w:hAnsi="Times New Roman"/>
          <w:lang w:val="es-AR"/>
        </w:rPr>
        <w:t>en Panamá durante el siglo XX”, en</w:t>
      </w:r>
      <w:r>
        <w:rPr>
          <w:rFonts w:ascii="Times New Roman" w:hAnsi="Times New Roman"/>
          <w:b/>
          <w:bCs/>
          <w:lang w:val="es-AR"/>
        </w:rPr>
        <w:t xml:space="preserve"> </w:t>
      </w:r>
      <w:r>
        <w:rPr>
          <w:rFonts w:ascii="Times New Roman" w:hAnsi="Times New Roman"/>
          <w:bCs/>
          <w:i/>
          <w:lang w:val="es-AR"/>
        </w:rPr>
        <w:t>Memoria del III Congreso Iberoamericano de Derecho Constitucional</w:t>
      </w:r>
      <w:r>
        <w:rPr>
          <w:rFonts w:ascii="Times New Roman" w:hAnsi="Times New Roman"/>
          <w:bCs/>
          <w:lang w:val="es-AR"/>
        </w:rPr>
        <w:t>,</w:t>
      </w:r>
      <w:r>
        <w:rPr>
          <w:rFonts w:ascii="Times New Roman" w:hAnsi="Times New Roman"/>
          <w:lang w:val="es-AR"/>
        </w:rPr>
        <w:t xml:space="preserve"> Instituto de Investigaciones Jurídicas de la UNAM, México, 1987, pp. 367-388.</w:t>
      </w:r>
    </w:p>
    <w:p w:rsidR="00000000" w:rsidRDefault="007B5A38">
      <w:pPr>
        <w:pStyle w:val="Textonotapie"/>
        <w:rPr>
          <w:lang w:val="es-AR"/>
        </w:rPr>
      </w:pPr>
    </w:p>
  </w:footnote>
  <w:footnote w:id="24">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Cit. en RODRÍGUEZ, E., </w:t>
      </w:r>
      <w:r>
        <w:rPr>
          <w:rFonts w:ascii="Times New Roman" w:hAnsi="Times New Roman"/>
          <w:i/>
          <w:lang w:val="es-AR"/>
        </w:rPr>
        <w:t>Voces del 43</w:t>
      </w:r>
      <w:r>
        <w:rPr>
          <w:rFonts w:ascii="Times New Roman" w:hAnsi="Times New Roman"/>
          <w:lang w:val="es-AR"/>
        </w:rPr>
        <w:t>, Editorial de la Universidad de Costa</w:t>
      </w:r>
      <w:r>
        <w:rPr>
          <w:rFonts w:ascii="Times New Roman" w:hAnsi="Times New Roman"/>
          <w:lang w:val="es-AR"/>
        </w:rPr>
        <w:t xml:space="preserve"> Rica, San José, 1995, p. 62. La opinión de Barahona Straber fue publicada originalmente en un artículo aparecido en la Revista Su Seguridad, editada por la Caja Costarricense de Seguro Social, en mayo de 1942.</w:t>
      </w:r>
    </w:p>
  </w:footnote>
  <w:footnote w:id="25">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AR"/>
        </w:rPr>
        <w:t>SAMPAY, A. E.,</w:t>
      </w:r>
      <w:r>
        <w:rPr>
          <w:rFonts w:ascii="Times New Roman" w:hAnsi="Times New Roman"/>
          <w:lang w:val="es-AR"/>
        </w:rPr>
        <w:t xml:space="preserve"> </w:t>
      </w:r>
      <w:r>
        <w:rPr>
          <w:rFonts w:ascii="Times New Roman" w:hAnsi="Times New Roman"/>
          <w:i/>
          <w:iCs/>
          <w:lang w:val="es-AR"/>
        </w:rPr>
        <w:t>La Constitución argentin</w:t>
      </w:r>
      <w:r>
        <w:rPr>
          <w:rFonts w:ascii="Times New Roman" w:hAnsi="Times New Roman"/>
          <w:i/>
          <w:iCs/>
          <w:lang w:val="es-AR"/>
        </w:rPr>
        <w:t>a de 1949,</w:t>
      </w:r>
      <w:r>
        <w:rPr>
          <w:rFonts w:ascii="Times New Roman" w:hAnsi="Times New Roman"/>
          <w:iCs/>
          <w:lang w:val="es-AR"/>
        </w:rPr>
        <w:t xml:space="preserve"> Relevo, Buenos Aires, 1963.</w:t>
      </w:r>
      <w:r>
        <w:rPr>
          <w:i/>
          <w:iCs/>
          <w:lang w:val="es-AR"/>
        </w:rPr>
        <w:t xml:space="preserve"> </w:t>
      </w:r>
    </w:p>
  </w:footnote>
  <w:footnote w:id="26">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AR"/>
        </w:rPr>
        <w:t>HERRERA, C. M</w:t>
      </w:r>
      <w:r>
        <w:rPr>
          <w:rFonts w:ascii="Times New Roman" w:hAnsi="Times New Roman"/>
          <w:lang w:val="es-AR"/>
        </w:rPr>
        <w:t>., “Estado, constitución y derechos sociales”, cit., pp. 43 y ss.</w:t>
      </w:r>
    </w:p>
  </w:footnote>
  <w:footnote w:id="27">
    <w:p w:rsidR="00000000" w:rsidRDefault="007B5A38">
      <w:pPr>
        <w:rPr>
          <w:rFonts w:ascii="Times New Roman" w:hAnsi="Times New Roman"/>
          <w:sz w:val="20"/>
          <w:szCs w:val="20"/>
          <w:lang w:val="fr-CH"/>
        </w:rPr>
      </w:pPr>
      <w:r>
        <w:rPr>
          <w:rStyle w:val="Refdenotaalpie"/>
        </w:rPr>
        <w:footnoteRef/>
      </w:r>
      <w:r>
        <w:rPr>
          <w:lang w:val="fr-CH"/>
        </w:rPr>
        <w:t xml:space="preserve"> </w:t>
      </w:r>
      <w:r>
        <w:rPr>
          <w:rFonts w:ascii="Times New Roman" w:hAnsi="Times New Roman"/>
          <w:sz w:val="20"/>
          <w:szCs w:val="20"/>
          <w:lang w:val="fr-CH"/>
        </w:rPr>
        <w:t xml:space="preserve">Ver </w:t>
      </w:r>
      <w:r>
        <w:rPr>
          <w:rFonts w:ascii="Times New Roman" w:hAnsi="Times New Roman"/>
          <w:sz w:val="20"/>
          <w:szCs w:val="20"/>
          <w:highlight w:val="yellow"/>
          <w:lang w:val="fr-CH"/>
        </w:rPr>
        <w:t>RIVERO, J y VEDEL, G.</w:t>
      </w:r>
      <w:r>
        <w:rPr>
          <w:rFonts w:ascii="Times New Roman" w:hAnsi="Times New Roman"/>
          <w:sz w:val="20"/>
          <w:szCs w:val="20"/>
          <w:lang w:val="fr-CH"/>
        </w:rPr>
        <w:t xml:space="preserve">, “Les principes économiques et sociaux de la Constitution: le Préambule”, en </w:t>
      </w:r>
      <w:r>
        <w:rPr>
          <w:rFonts w:ascii="Times New Roman" w:hAnsi="Times New Roman"/>
          <w:i/>
          <w:iCs/>
          <w:sz w:val="20"/>
          <w:szCs w:val="20"/>
          <w:lang w:val="fr-CH"/>
        </w:rPr>
        <w:t xml:space="preserve">Droit </w:t>
      </w:r>
      <w:r>
        <w:rPr>
          <w:rFonts w:ascii="Times New Roman" w:hAnsi="Times New Roman"/>
          <w:iCs/>
          <w:sz w:val="20"/>
          <w:szCs w:val="20"/>
          <w:lang w:val="fr-CH"/>
        </w:rPr>
        <w:t>social, vol. 31</w:t>
      </w:r>
      <w:r>
        <w:rPr>
          <w:rFonts w:ascii="Times New Roman" w:hAnsi="Times New Roman"/>
          <w:i/>
          <w:iCs/>
          <w:sz w:val="20"/>
          <w:szCs w:val="20"/>
          <w:lang w:val="fr-CH"/>
        </w:rPr>
        <w:t xml:space="preserve">, </w:t>
      </w:r>
      <w:r>
        <w:rPr>
          <w:rFonts w:ascii="Times New Roman" w:hAnsi="Times New Roman"/>
          <w:sz w:val="20"/>
          <w:szCs w:val="20"/>
          <w:lang w:val="fr-CH"/>
        </w:rPr>
        <w:t>194</w:t>
      </w:r>
      <w:r>
        <w:rPr>
          <w:rFonts w:ascii="Times New Roman" w:hAnsi="Times New Roman"/>
          <w:sz w:val="20"/>
          <w:szCs w:val="20"/>
          <w:lang w:val="fr-CH"/>
        </w:rPr>
        <w:t xml:space="preserve">7,  pp. 13 y ss.; </w:t>
      </w:r>
      <w:r>
        <w:rPr>
          <w:rFonts w:ascii="Times New Roman" w:hAnsi="Times New Roman"/>
          <w:sz w:val="20"/>
          <w:szCs w:val="20"/>
          <w:highlight w:val="yellow"/>
          <w:lang w:val="fr-CH"/>
        </w:rPr>
        <w:t>RANGEON, F</w:t>
      </w:r>
      <w:r>
        <w:rPr>
          <w:rFonts w:ascii="Times New Roman" w:hAnsi="Times New Roman"/>
          <w:sz w:val="20"/>
          <w:szCs w:val="20"/>
          <w:lang w:val="fr-CH"/>
        </w:rPr>
        <w:t xml:space="preserve">., “Droits-libertés et droits-créances : les contradictions du Préambule de la Constitution de 1946”, en AA.VV., </w:t>
      </w:r>
      <w:r>
        <w:rPr>
          <w:rFonts w:ascii="Times New Roman" w:hAnsi="Times New Roman"/>
          <w:i/>
          <w:sz w:val="20"/>
          <w:szCs w:val="20"/>
          <w:lang w:val="fr-CH"/>
        </w:rPr>
        <w:t>Le préambule de la Constitution de 1946. Antinomies juridiques et contradictions politiques</w:t>
      </w:r>
      <w:r>
        <w:rPr>
          <w:rFonts w:ascii="Times New Roman" w:hAnsi="Times New Roman"/>
          <w:sz w:val="20"/>
          <w:szCs w:val="20"/>
          <w:lang w:val="fr-CH"/>
        </w:rPr>
        <w:t xml:space="preserve">, </w:t>
      </w:r>
      <w:r>
        <w:rPr>
          <w:rStyle w:val="nfasis"/>
          <w:rFonts w:ascii="Times New Roman" w:hAnsi="Times New Roman"/>
          <w:bCs/>
          <w:i w:val="0"/>
          <w:iCs w:val="0"/>
          <w:sz w:val="20"/>
          <w:szCs w:val="20"/>
          <w:shd w:val="clear" w:color="auto" w:fill="FFFFFF"/>
          <w:lang w:val="fr-CH"/>
        </w:rPr>
        <w:t>Presses Universitaires</w:t>
      </w:r>
      <w:r>
        <w:rPr>
          <w:rStyle w:val="nfasis"/>
          <w:rFonts w:ascii="Times New Roman" w:hAnsi="Times New Roman"/>
          <w:bCs/>
          <w:i w:val="0"/>
          <w:iCs w:val="0"/>
          <w:sz w:val="20"/>
          <w:szCs w:val="20"/>
          <w:shd w:val="clear" w:color="auto" w:fill="FFFFFF"/>
          <w:lang w:val="fr-CH"/>
        </w:rPr>
        <w:t xml:space="preserve"> de France,</w:t>
      </w:r>
      <w:r>
        <w:rPr>
          <w:rStyle w:val="nfasis"/>
          <w:rFonts w:ascii="Times New Roman" w:hAnsi="Times New Roman"/>
          <w:b/>
          <w:bCs/>
          <w:i w:val="0"/>
          <w:iCs w:val="0"/>
          <w:sz w:val="20"/>
          <w:szCs w:val="20"/>
          <w:shd w:val="clear" w:color="auto" w:fill="FFFFFF"/>
          <w:lang w:val="fr-CH"/>
        </w:rPr>
        <w:t xml:space="preserve"> </w:t>
      </w:r>
      <w:r>
        <w:rPr>
          <w:rFonts w:ascii="Times New Roman" w:hAnsi="Times New Roman"/>
          <w:sz w:val="20"/>
          <w:szCs w:val="20"/>
          <w:lang w:val="fr-CH"/>
        </w:rPr>
        <w:t xml:space="preserve">París, 1996, pp. 169-186 ; </w:t>
      </w:r>
      <w:r>
        <w:rPr>
          <w:rFonts w:ascii="Times New Roman" w:hAnsi="Times New Roman"/>
          <w:sz w:val="20"/>
          <w:szCs w:val="20"/>
          <w:highlight w:val="yellow"/>
          <w:lang w:val="fr-CH"/>
        </w:rPr>
        <w:t>CONAC, G, PRÉTOT, X. y TÉBOUL, G.</w:t>
      </w:r>
      <w:r>
        <w:rPr>
          <w:rFonts w:ascii="Times New Roman" w:hAnsi="Times New Roman"/>
          <w:sz w:val="20"/>
          <w:szCs w:val="20"/>
          <w:lang w:val="fr-CH"/>
        </w:rPr>
        <w:t xml:space="preserve"> (dirs.), </w:t>
      </w:r>
      <w:r>
        <w:rPr>
          <w:rFonts w:ascii="Times New Roman" w:hAnsi="Times New Roman"/>
          <w:i/>
          <w:sz w:val="20"/>
          <w:szCs w:val="20"/>
          <w:lang w:val="fr-CH"/>
        </w:rPr>
        <w:t>Le Préambule de la Constitution de 1946</w:t>
      </w:r>
      <w:r>
        <w:rPr>
          <w:rFonts w:ascii="Times New Roman" w:hAnsi="Times New Roman"/>
          <w:sz w:val="20"/>
          <w:szCs w:val="20"/>
          <w:lang w:val="fr-CH"/>
        </w:rPr>
        <w:t xml:space="preserve">, Dalloz, Paris, 2001 ; </w:t>
      </w:r>
      <w:r>
        <w:rPr>
          <w:rFonts w:ascii="Times New Roman" w:hAnsi="Times New Roman"/>
          <w:sz w:val="20"/>
          <w:szCs w:val="20"/>
          <w:highlight w:val="yellow"/>
          <w:lang w:val="fr-CH"/>
        </w:rPr>
        <w:t>HERRERA, C. M.</w:t>
      </w:r>
      <w:r>
        <w:rPr>
          <w:rFonts w:ascii="Times New Roman" w:hAnsi="Times New Roman"/>
          <w:sz w:val="20"/>
          <w:szCs w:val="20"/>
          <w:lang w:val="fr-CH"/>
        </w:rPr>
        <w:t xml:space="preserve">, “Estado, constitución y derechos sociales”, cit., pp. 46-48 y </w:t>
      </w:r>
      <w:r>
        <w:rPr>
          <w:rFonts w:ascii="Times New Roman" w:hAnsi="Times New Roman"/>
          <w:i/>
          <w:sz w:val="20"/>
          <w:szCs w:val="20"/>
          <w:lang w:val="fr-CH"/>
        </w:rPr>
        <w:t>Les droits sociaux</w:t>
      </w:r>
      <w:r>
        <w:rPr>
          <w:rFonts w:ascii="Times New Roman" w:hAnsi="Times New Roman"/>
          <w:sz w:val="20"/>
          <w:szCs w:val="20"/>
          <w:lang w:val="fr-CH"/>
        </w:rPr>
        <w:t>, cit. pp. 62-7</w:t>
      </w:r>
      <w:r>
        <w:rPr>
          <w:rFonts w:ascii="Times New Roman" w:hAnsi="Times New Roman"/>
          <w:sz w:val="20"/>
          <w:szCs w:val="20"/>
          <w:lang w:val="fr-CH"/>
        </w:rPr>
        <w:t>5.</w:t>
      </w:r>
    </w:p>
  </w:footnote>
  <w:footnote w:id="28">
    <w:p w:rsidR="00000000" w:rsidRDefault="007B5A38">
      <w:pPr>
        <w:pStyle w:val="Textonotapie"/>
        <w:rPr>
          <w:rFonts w:ascii="Times New Roman" w:hAnsi="Times New Roman"/>
          <w:lang w:val="fr-CH"/>
        </w:rPr>
      </w:pPr>
      <w:r>
        <w:rPr>
          <w:rStyle w:val="Refdenotaalpie"/>
          <w:rFonts w:ascii="Times New Roman" w:hAnsi="Times New Roman"/>
        </w:rPr>
        <w:footnoteRef/>
      </w:r>
      <w:r>
        <w:rPr>
          <w:rFonts w:ascii="Times New Roman" w:hAnsi="Times New Roman"/>
          <w:lang w:val="fr-CH"/>
        </w:rPr>
        <w:t xml:space="preserve"> Ver, por ejemplo, Consejo constitucional francés, Loi complétant les dispositions des articles 5 et 7 de la loi du 1er juillet 1901 relative au contrat d’association, Decisión 71-44 DC de 16 de julio de 1971.</w:t>
      </w:r>
    </w:p>
  </w:footnote>
  <w:footnote w:id="29">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ES_tradnl"/>
        </w:rPr>
        <w:t>Constituyen ejemplos de esta tendencia l</w:t>
      </w:r>
      <w:r>
        <w:rPr>
          <w:rFonts w:ascii="Times New Roman" w:hAnsi="Times New Roman"/>
          <w:lang w:val="es-ES_tradnl"/>
        </w:rPr>
        <w:t xml:space="preserve">as constituciones de Argelia (1963, 1976, 1989, 1996), Benín (1990), Burkina Faso (1991), Camboya (1993), Camerún (1960), Chad (1996), Congo-Brazzaville (1997), Costa de Marfil (1960, 2000), Gabón (1991), Madagascar (1992),  Mali (1992), Marruecos (1962), </w:t>
      </w:r>
      <w:r>
        <w:rPr>
          <w:rFonts w:ascii="Times New Roman" w:hAnsi="Times New Roman"/>
          <w:lang w:val="es-ES_tradnl"/>
        </w:rPr>
        <w:t>Mauritania (1991), Níger (1999), República Centroafricana (1959, 1995), República Democrática del Congo (1994, 2003, 2006), Senegal (1959, 1960, 1963, 2001), Túnez (1959) y Yibuti (1992).</w:t>
      </w:r>
    </w:p>
  </w:footnote>
  <w:footnote w:id="30">
    <w:p w:rsidR="00000000" w:rsidRDefault="007B5A38">
      <w:pPr>
        <w:rPr>
          <w:rFonts w:ascii="Times New Roman" w:hAnsi="Times New Roman"/>
          <w:sz w:val="20"/>
          <w:szCs w:val="20"/>
          <w:lang w:val="es-ES"/>
        </w:rPr>
      </w:pPr>
      <w:r>
        <w:rPr>
          <w:rStyle w:val="Refdenotaalpie"/>
        </w:rPr>
        <w:footnoteRef/>
      </w:r>
      <w:r>
        <w:rPr>
          <w:rFonts w:ascii="Times New Roman" w:hAnsi="Times New Roman"/>
          <w:lang w:val="es-AR"/>
        </w:rPr>
        <w:t xml:space="preserve"> </w:t>
      </w:r>
      <w:r>
        <w:rPr>
          <w:rFonts w:ascii="Times New Roman" w:hAnsi="Times New Roman"/>
          <w:sz w:val="20"/>
          <w:szCs w:val="20"/>
          <w:lang w:val="es-AR"/>
        </w:rPr>
        <w:t xml:space="preserve">Ver </w:t>
      </w:r>
      <w:r>
        <w:rPr>
          <w:rFonts w:ascii="Times New Roman" w:hAnsi="Times New Roman"/>
          <w:sz w:val="20"/>
          <w:szCs w:val="20"/>
          <w:highlight w:val="yellow"/>
          <w:lang w:val="es-AR"/>
        </w:rPr>
        <w:t>BALDASSARRE, A</w:t>
      </w:r>
      <w:r>
        <w:rPr>
          <w:rFonts w:ascii="Times New Roman" w:hAnsi="Times New Roman"/>
          <w:sz w:val="20"/>
          <w:szCs w:val="20"/>
          <w:lang w:val="es-AR"/>
        </w:rPr>
        <w:t xml:space="preserve">.,  “Diritti social”, en  BALDASSARRE, A., </w:t>
      </w:r>
      <w:r>
        <w:rPr>
          <w:rFonts w:ascii="Times New Roman" w:hAnsi="Times New Roman"/>
          <w:i/>
          <w:sz w:val="20"/>
          <w:szCs w:val="20"/>
          <w:lang w:val="es-AR"/>
        </w:rPr>
        <w:t>Dirit</w:t>
      </w:r>
      <w:r>
        <w:rPr>
          <w:rFonts w:ascii="Times New Roman" w:hAnsi="Times New Roman"/>
          <w:i/>
          <w:sz w:val="20"/>
          <w:szCs w:val="20"/>
          <w:lang w:val="es-AR"/>
        </w:rPr>
        <w:t>ti della persona e valori costituzionali</w:t>
      </w:r>
      <w:r>
        <w:rPr>
          <w:rFonts w:ascii="Times New Roman" w:hAnsi="Times New Roman"/>
          <w:sz w:val="20"/>
          <w:szCs w:val="20"/>
          <w:lang w:val="es-AR"/>
        </w:rPr>
        <w:t xml:space="preserve">, Giappichelli, Turín, 1997, p. 123 y ss.; </w:t>
      </w:r>
      <w:r>
        <w:rPr>
          <w:rFonts w:ascii="Times New Roman" w:hAnsi="Times New Roman"/>
          <w:sz w:val="20"/>
          <w:szCs w:val="20"/>
          <w:highlight w:val="yellow"/>
          <w:lang w:val="es-AR"/>
        </w:rPr>
        <w:t>PIZZOLATO, F.,</w:t>
      </w:r>
      <w:r>
        <w:rPr>
          <w:rFonts w:ascii="Times New Roman" w:hAnsi="Times New Roman"/>
          <w:sz w:val="20"/>
          <w:szCs w:val="20"/>
          <w:lang w:val="es-AR"/>
        </w:rPr>
        <w:t xml:space="preserve"> </w:t>
      </w:r>
      <w:r>
        <w:rPr>
          <w:rFonts w:ascii="Times New Roman" w:hAnsi="Times New Roman"/>
          <w:i/>
          <w:sz w:val="20"/>
          <w:szCs w:val="20"/>
          <w:lang w:val="es-AR"/>
        </w:rPr>
        <w:t>Finalismo dello Stato e sistema dei diritti nella Costituzione italiana</w:t>
      </w:r>
      <w:r>
        <w:rPr>
          <w:rFonts w:ascii="Times New Roman" w:hAnsi="Times New Roman"/>
          <w:sz w:val="20"/>
          <w:szCs w:val="20"/>
          <w:lang w:val="es-AR"/>
        </w:rPr>
        <w:t xml:space="preserve">,  Vita e Pensiero, Milán, 1999; </w:t>
      </w:r>
      <w:r>
        <w:rPr>
          <w:rFonts w:ascii="Times New Roman" w:hAnsi="Times New Roman"/>
          <w:sz w:val="20"/>
          <w:szCs w:val="20"/>
          <w:highlight w:val="yellow"/>
          <w:lang w:val="es-AR"/>
        </w:rPr>
        <w:t>SALAZAR, C</w:t>
      </w:r>
      <w:r>
        <w:rPr>
          <w:rFonts w:ascii="Times New Roman" w:hAnsi="Times New Roman"/>
          <w:sz w:val="20"/>
          <w:szCs w:val="20"/>
          <w:lang w:val="es-AR"/>
        </w:rPr>
        <w:t xml:space="preserve">.  </w:t>
      </w:r>
      <w:r>
        <w:rPr>
          <w:rFonts w:ascii="Times New Roman" w:hAnsi="Times New Roman"/>
          <w:i/>
          <w:sz w:val="20"/>
          <w:szCs w:val="20"/>
          <w:lang w:val="es-AR"/>
        </w:rPr>
        <w:t>Dal riconoscimento alla garanzia dei diri</w:t>
      </w:r>
      <w:r>
        <w:rPr>
          <w:rFonts w:ascii="Times New Roman" w:hAnsi="Times New Roman"/>
          <w:i/>
          <w:sz w:val="20"/>
          <w:szCs w:val="20"/>
          <w:lang w:val="es-AR"/>
        </w:rPr>
        <w:t>tti sociali. Orientamenti e tecniche decisorie della Corte costituzionale a confronto</w:t>
      </w:r>
      <w:r>
        <w:rPr>
          <w:rFonts w:ascii="Times New Roman" w:hAnsi="Times New Roman"/>
          <w:sz w:val="20"/>
          <w:szCs w:val="20"/>
          <w:lang w:val="es-AR"/>
        </w:rPr>
        <w:t xml:space="preserve">, Giappichelli, Turín, 2000; </w:t>
      </w:r>
      <w:r>
        <w:rPr>
          <w:rFonts w:ascii="Times New Roman" w:hAnsi="Times New Roman"/>
          <w:sz w:val="20"/>
          <w:szCs w:val="20"/>
          <w:highlight w:val="yellow"/>
          <w:lang w:val="es-AR"/>
        </w:rPr>
        <w:t>PEZZINI, B.</w:t>
      </w:r>
      <w:r>
        <w:rPr>
          <w:rFonts w:ascii="Times New Roman" w:hAnsi="Times New Roman"/>
          <w:sz w:val="20"/>
          <w:szCs w:val="20"/>
          <w:lang w:val="es-AR"/>
        </w:rPr>
        <w:t xml:space="preserve">, </w:t>
      </w:r>
      <w:r>
        <w:rPr>
          <w:rFonts w:ascii="Times New Roman" w:hAnsi="Times New Roman"/>
          <w:i/>
          <w:sz w:val="20"/>
          <w:szCs w:val="20"/>
          <w:lang w:val="es-AR"/>
        </w:rPr>
        <w:t>La decisione sui diritti sociali. Indagine sulla struttura costituzionale dei diritti sociali</w:t>
      </w:r>
      <w:r>
        <w:rPr>
          <w:rFonts w:ascii="Times New Roman" w:hAnsi="Times New Roman"/>
          <w:sz w:val="20"/>
          <w:szCs w:val="20"/>
          <w:lang w:val="es-AR"/>
        </w:rPr>
        <w:t xml:space="preserve">, Giuffrè, Milán, 2001; </w:t>
      </w:r>
      <w:r>
        <w:rPr>
          <w:rFonts w:ascii="Times New Roman" w:hAnsi="Times New Roman"/>
          <w:sz w:val="20"/>
          <w:szCs w:val="20"/>
          <w:highlight w:val="yellow"/>
          <w:lang w:val="es-AR"/>
        </w:rPr>
        <w:t>BIFULCO, D.</w:t>
      </w:r>
      <w:r>
        <w:rPr>
          <w:rFonts w:ascii="Times New Roman" w:hAnsi="Times New Roman"/>
          <w:sz w:val="20"/>
          <w:szCs w:val="20"/>
          <w:lang w:val="es-AR"/>
        </w:rPr>
        <w:t>,</w:t>
      </w:r>
      <w:r>
        <w:rPr>
          <w:rFonts w:ascii="Times New Roman" w:hAnsi="Times New Roman"/>
          <w:sz w:val="20"/>
          <w:szCs w:val="20"/>
          <w:lang w:val="es-AR"/>
        </w:rPr>
        <w:t xml:space="preserve">  </w:t>
      </w:r>
      <w:r>
        <w:rPr>
          <w:rFonts w:ascii="Times New Roman" w:hAnsi="Times New Roman"/>
          <w:i/>
          <w:sz w:val="20"/>
          <w:szCs w:val="20"/>
          <w:lang w:val="es-AR"/>
        </w:rPr>
        <w:t>L’inviolabilità dei diritti sociali</w:t>
      </w:r>
      <w:r>
        <w:rPr>
          <w:rFonts w:ascii="Times New Roman" w:hAnsi="Times New Roman"/>
          <w:sz w:val="20"/>
          <w:szCs w:val="20"/>
          <w:lang w:val="es-AR"/>
        </w:rPr>
        <w:t xml:space="preserve">,  Jovene, Nápoles, 2003; </w:t>
      </w:r>
      <w:r>
        <w:rPr>
          <w:rFonts w:ascii="Times New Roman" w:hAnsi="Times New Roman"/>
          <w:sz w:val="20"/>
          <w:szCs w:val="20"/>
          <w:highlight w:val="yellow"/>
          <w:lang w:val="es-AR"/>
        </w:rPr>
        <w:t>PILIA, R</w:t>
      </w:r>
      <w:r>
        <w:rPr>
          <w:rFonts w:ascii="Times New Roman" w:hAnsi="Times New Roman"/>
          <w:sz w:val="20"/>
          <w:szCs w:val="20"/>
          <w:lang w:val="es-AR"/>
        </w:rPr>
        <w:t xml:space="preserve">., </w:t>
      </w:r>
      <w:r>
        <w:rPr>
          <w:rFonts w:ascii="Times New Roman" w:hAnsi="Times New Roman"/>
          <w:i/>
          <w:sz w:val="20"/>
          <w:szCs w:val="20"/>
          <w:lang w:val="es-AR"/>
        </w:rPr>
        <w:t>I diritti sociali</w:t>
      </w:r>
      <w:r>
        <w:rPr>
          <w:rFonts w:ascii="Times New Roman" w:hAnsi="Times New Roman"/>
          <w:sz w:val="20"/>
          <w:szCs w:val="20"/>
          <w:lang w:val="es-AR"/>
        </w:rPr>
        <w:t xml:space="preserve">, Jovene, Nápoles, 2005; </w:t>
      </w:r>
      <w:r>
        <w:rPr>
          <w:rFonts w:ascii="Times New Roman" w:hAnsi="Times New Roman"/>
          <w:sz w:val="20"/>
          <w:szCs w:val="20"/>
          <w:highlight w:val="yellow"/>
          <w:lang w:val="es-ES"/>
        </w:rPr>
        <w:t>ANGIOLINI, V.,</w:t>
      </w:r>
      <w:r>
        <w:rPr>
          <w:rFonts w:ascii="Times New Roman" w:hAnsi="Times New Roman"/>
          <w:sz w:val="20"/>
          <w:szCs w:val="20"/>
          <w:lang w:val="es-ES"/>
        </w:rPr>
        <w:t xml:space="preserve"> “Sulle premesse culturali dell’inserimento dei “diritti sociali” nella </w:t>
      </w:r>
      <w:r>
        <w:rPr>
          <w:rFonts w:ascii="Times New Roman" w:hAnsi="Times New Roman"/>
          <w:sz w:val="20"/>
          <w:szCs w:val="20"/>
          <w:lang w:val="es-AR"/>
        </w:rPr>
        <w:t>Costituzione”, en RUOTOLO, M. (comp</w:t>
      </w:r>
      <w:r>
        <w:rPr>
          <w:rFonts w:ascii="Times New Roman" w:hAnsi="Times New Roman"/>
          <w:i/>
          <w:sz w:val="20"/>
          <w:szCs w:val="20"/>
          <w:lang w:val="es-AR"/>
        </w:rPr>
        <w:t>.), La Costituzione</w:t>
      </w:r>
      <w:r>
        <w:rPr>
          <w:rFonts w:ascii="Times New Roman" w:hAnsi="Times New Roman"/>
          <w:i/>
          <w:sz w:val="20"/>
          <w:szCs w:val="20"/>
          <w:lang w:val="es-AR"/>
        </w:rPr>
        <w:t xml:space="preserve"> ha sessant’anni. </w:t>
      </w:r>
      <w:r>
        <w:rPr>
          <w:rFonts w:ascii="Times New Roman" w:hAnsi="Times New Roman"/>
          <w:i/>
          <w:sz w:val="20"/>
          <w:szCs w:val="20"/>
          <w:lang w:val="es-ES"/>
        </w:rPr>
        <w:t>La qualità della vita sessant’anni dopo</w:t>
      </w:r>
      <w:r>
        <w:rPr>
          <w:rFonts w:ascii="Times New Roman" w:hAnsi="Times New Roman"/>
          <w:sz w:val="20"/>
          <w:szCs w:val="20"/>
          <w:lang w:val="es-ES"/>
        </w:rPr>
        <w:t>, Scientifica, Nápoles, 2008, pp. 205 y ss.</w:t>
      </w:r>
    </w:p>
    <w:p w:rsidR="00000000" w:rsidRDefault="007B5A38">
      <w:pPr>
        <w:pStyle w:val="Textonotapie"/>
        <w:rPr>
          <w:rFonts w:ascii="Times New Roman" w:hAnsi="Times New Roman"/>
          <w:lang w:val="es-AR"/>
        </w:rPr>
      </w:pPr>
    </w:p>
    <w:p w:rsidR="00000000" w:rsidRDefault="007B5A38">
      <w:pPr>
        <w:pStyle w:val="Textonotapie"/>
        <w:rPr>
          <w:lang w:val="es-AR"/>
        </w:rPr>
      </w:pPr>
    </w:p>
  </w:footnote>
  <w:footnote w:id="31">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AR"/>
        </w:rPr>
        <w:t>ALEXY, R.</w:t>
      </w:r>
      <w:r>
        <w:rPr>
          <w:rFonts w:ascii="Times New Roman" w:hAnsi="Times New Roman"/>
          <w:lang w:val="es-AR"/>
        </w:rPr>
        <w:t xml:space="preserve">, </w:t>
      </w:r>
      <w:r>
        <w:rPr>
          <w:rFonts w:ascii="Times New Roman" w:hAnsi="Times New Roman"/>
          <w:i/>
          <w:lang w:val="es-AR"/>
        </w:rPr>
        <w:t>Teoría de los derechos fundamentales</w:t>
      </w:r>
      <w:r>
        <w:rPr>
          <w:rFonts w:ascii="Times New Roman" w:hAnsi="Times New Roman"/>
          <w:lang w:val="es-AR"/>
        </w:rPr>
        <w:t xml:space="preserve">, cit.; </w:t>
      </w:r>
      <w:r>
        <w:rPr>
          <w:rFonts w:ascii="Times New Roman" w:hAnsi="Times New Roman"/>
          <w:highlight w:val="yellow"/>
          <w:lang w:val="es-AR"/>
        </w:rPr>
        <w:t>BÖCKENFÖRDE, E. W.</w:t>
      </w:r>
      <w:r>
        <w:rPr>
          <w:rFonts w:ascii="Times New Roman" w:hAnsi="Times New Roman"/>
          <w:lang w:val="es-AR"/>
        </w:rPr>
        <w:t>, “Los derechos fundamentales sociales en la estructura de la Constitución</w:t>
      </w:r>
      <w:r>
        <w:rPr>
          <w:rFonts w:ascii="Times New Roman" w:hAnsi="Times New Roman"/>
          <w:lang w:val="es-AR"/>
        </w:rPr>
        <w:t xml:space="preserve">”, en BÖCKENFÖRDE, E. W., </w:t>
      </w:r>
      <w:r>
        <w:rPr>
          <w:rFonts w:ascii="Times New Roman" w:hAnsi="Times New Roman"/>
          <w:i/>
          <w:lang w:val="es-AR"/>
        </w:rPr>
        <w:t>Escritos sobre Derechos Fundamentales</w:t>
      </w:r>
      <w:r>
        <w:rPr>
          <w:rFonts w:ascii="Times New Roman" w:hAnsi="Times New Roman"/>
          <w:lang w:val="es-AR"/>
        </w:rPr>
        <w:t>, trad. de Requejo Pagés, J. L. y Villaverde Menéndez, I., Baden-Baden, 1993, pp. 74 y ss.;</w:t>
      </w:r>
      <w:r>
        <w:rPr>
          <w:lang w:val="es-AR"/>
        </w:rPr>
        <w:t xml:space="preserve"> </w:t>
      </w:r>
      <w:r>
        <w:rPr>
          <w:rFonts w:ascii="Times New Roman" w:hAnsi="Times New Roman"/>
          <w:lang w:val="es-AR"/>
        </w:rPr>
        <w:t xml:space="preserve"> </w:t>
      </w:r>
      <w:r>
        <w:rPr>
          <w:rFonts w:ascii="Times New Roman" w:hAnsi="Times New Roman"/>
          <w:highlight w:val="yellow"/>
          <w:lang w:val="es-AR"/>
        </w:rPr>
        <w:t>WEBER, A.,</w:t>
      </w:r>
      <w:r>
        <w:rPr>
          <w:rFonts w:ascii="Times New Roman" w:hAnsi="Times New Roman"/>
          <w:lang w:val="es-AR"/>
        </w:rPr>
        <w:t xml:space="preserve"> “Estado social, derechos sociales fundamentales y protección social en la República Feder</w:t>
      </w:r>
      <w:r>
        <w:rPr>
          <w:rFonts w:ascii="Times New Roman" w:hAnsi="Times New Roman"/>
          <w:lang w:val="es-AR"/>
        </w:rPr>
        <w:t>al de Alemania”, en MUÑOZ MACHADO, S., GARCÍA DELGADO, J.L, y GONZÁLEZ SEARA, L. (dirs.), </w:t>
      </w:r>
      <w:r>
        <w:rPr>
          <w:rFonts w:ascii="Times New Roman" w:hAnsi="Times New Roman"/>
          <w:i/>
          <w:iCs/>
          <w:lang w:val="es-AR"/>
        </w:rPr>
        <w:t>Las estructuras del bienestar en Europa,</w:t>
      </w:r>
      <w:r>
        <w:rPr>
          <w:rFonts w:ascii="Times New Roman" w:hAnsi="Times New Roman"/>
          <w:lang w:val="es-AR"/>
        </w:rPr>
        <w:t xml:space="preserve"> Civitas, Madrid, 2000, pp. 569 y ss.</w:t>
      </w:r>
    </w:p>
  </w:footnote>
  <w:footnote w:id="32">
    <w:p w:rsidR="00000000" w:rsidRDefault="007B5A38">
      <w:pPr>
        <w:rPr>
          <w:rFonts w:ascii="Times New Roman" w:hAnsi="Times New Roman"/>
          <w:sz w:val="20"/>
          <w:szCs w:val="20"/>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sz w:val="20"/>
          <w:szCs w:val="20"/>
          <w:highlight w:val="yellow"/>
          <w:lang w:val="es-AR"/>
        </w:rPr>
        <w:t>MIRANDA, J.,</w:t>
      </w:r>
      <w:r>
        <w:rPr>
          <w:rFonts w:ascii="Times New Roman" w:hAnsi="Times New Roman"/>
          <w:sz w:val="20"/>
          <w:szCs w:val="20"/>
          <w:lang w:val="es-AR"/>
        </w:rPr>
        <w:t xml:space="preserve"> </w:t>
      </w:r>
      <w:r>
        <w:rPr>
          <w:rFonts w:ascii="Times New Roman" w:hAnsi="Times New Roman"/>
          <w:i/>
          <w:sz w:val="20"/>
          <w:szCs w:val="20"/>
          <w:lang w:val="es-AR"/>
        </w:rPr>
        <w:t>A constituição de 1976: formação, estrutura, princípios fundamentais</w:t>
      </w:r>
      <w:r>
        <w:rPr>
          <w:rFonts w:ascii="Times New Roman" w:hAnsi="Times New Roman"/>
          <w:sz w:val="20"/>
          <w:szCs w:val="20"/>
          <w:lang w:val="es-AR"/>
        </w:rPr>
        <w:t>,</w:t>
      </w:r>
      <w:r>
        <w:rPr>
          <w:rFonts w:ascii="Times New Roman" w:hAnsi="Times New Roman"/>
          <w:sz w:val="20"/>
          <w:szCs w:val="20"/>
          <w:lang w:val="es-AR"/>
        </w:rPr>
        <w:t xml:space="preserve"> Petrony, Lisboa, 1978; </w:t>
      </w:r>
      <w:r>
        <w:rPr>
          <w:rFonts w:ascii="Times New Roman" w:hAnsi="Times New Roman"/>
          <w:sz w:val="20"/>
          <w:szCs w:val="20"/>
          <w:highlight w:val="yellow"/>
          <w:lang w:val="es-AR"/>
        </w:rPr>
        <w:t>CANOTILHO, J. J. G.,</w:t>
      </w:r>
      <w:r>
        <w:rPr>
          <w:rFonts w:ascii="Times New Roman" w:hAnsi="Times New Roman"/>
          <w:sz w:val="20"/>
          <w:szCs w:val="20"/>
          <w:lang w:val="es-AR"/>
        </w:rPr>
        <w:t xml:space="preserve"> </w:t>
      </w:r>
      <w:r>
        <w:rPr>
          <w:rFonts w:ascii="Times New Roman" w:hAnsi="Times New Roman"/>
          <w:i/>
          <w:sz w:val="20"/>
          <w:szCs w:val="20"/>
          <w:lang w:val="es-AR"/>
        </w:rPr>
        <w:t>Constituição dirigente e vinculação do legislador: contributo para a compreensão das normas constitucionais programáticas</w:t>
      </w:r>
      <w:r>
        <w:rPr>
          <w:rFonts w:ascii="Times New Roman" w:hAnsi="Times New Roman"/>
          <w:sz w:val="20"/>
          <w:szCs w:val="20"/>
          <w:lang w:val="es-AR"/>
        </w:rPr>
        <w:t>, Coimbra Editora, Coimbra, 1982, “Tomemos en serio los derechos económicos, sociales y cu</w:t>
      </w:r>
      <w:r>
        <w:rPr>
          <w:rFonts w:ascii="Times New Roman" w:hAnsi="Times New Roman"/>
          <w:sz w:val="20"/>
          <w:szCs w:val="20"/>
          <w:lang w:val="es-AR"/>
        </w:rPr>
        <w:t xml:space="preserve">lturales”, </w:t>
      </w:r>
      <w:r>
        <w:rPr>
          <w:rFonts w:ascii="Times New Roman" w:hAnsi="Times New Roman"/>
          <w:i/>
          <w:iCs/>
          <w:sz w:val="20"/>
          <w:szCs w:val="20"/>
          <w:lang w:val="es-AR"/>
        </w:rPr>
        <w:t>Revista del Centro de Estudios Constitucionales</w:t>
      </w:r>
      <w:r>
        <w:rPr>
          <w:rFonts w:ascii="Times New Roman" w:hAnsi="Times New Roman"/>
          <w:sz w:val="20"/>
          <w:szCs w:val="20"/>
          <w:lang w:val="es-AR"/>
        </w:rPr>
        <w:t xml:space="preserve"> Nº 1, 1988, pp. 239-260 y “Metodología fuzzy y camaleones normativos en la problemática actual de los derechos económicos, sociales y culturales”, en Derechos y Libertades: Revista del Instituto Ba</w:t>
      </w:r>
      <w:r>
        <w:rPr>
          <w:rFonts w:ascii="Times New Roman" w:hAnsi="Times New Roman"/>
          <w:sz w:val="20"/>
          <w:szCs w:val="20"/>
          <w:lang w:val="es-AR"/>
        </w:rPr>
        <w:t>rtolomé de las Casas, N°6, 1998</w:t>
      </w:r>
      <w:r>
        <w:rPr>
          <w:rFonts w:ascii="Times New Roman" w:hAnsi="Times New Roman"/>
          <w:b/>
          <w:bCs/>
          <w:sz w:val="20"/>
          <w:szCs w:val="20"/>
          <w:lang w:val="es-AR"/>
        </w:rPr>
        <w:t xml:space="preserve">, </w:t>
      </w:r>
      <w:r>
        <w:rPr>
          <w:rFonts w:ascii="Times New Roman" w:hAnsi="Times New Roman"/>
          <w:bCs/>
          <w:sz w:val="20"/>
          <w:szCs w:val="20"/>
          <w:lang w:val="es-AR"/>
        </w:rPr>
        <w:t>pp. 35-50.</w:t>
      </w:r>
    </w:p>
    <w:p w:rsidR="00000000" w:rsidRDefault="007B5A38">
      <w:pPr>
        <w:pStyle w:val="Textonotapie"/>
        <w:rPr>
          <w:lang w:val="es-AR"/>
        </w:rPr>
      </w:pPr>
    </w:p>
  </w:footnote>
  <w:footnote w:id="33">
    <w:p w:rsidR="00000000" w:rsidRDefault="007B5A38">
      <w:pPr>
        <w:pStyle w:val="Textonotapie"/>
        <w:rPr>
          <w:lang w:val="es-ES"/>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ES"/>
        </w:rPr>
        <w:t>TAJADURA, J.</w:t>
      </w:r>
      <w:r>
        <w:rPr>
          <w:rFonts w:ascii="Times New Roman" w:hAnsi="Times New Roman"/>
          <w:lang w:val="es-ES"/>
        </w:rPr>
        <w:t xml:space="preserve"> (dir.), </w:t>
      </w:r>
      <w:r>
        <w:rPr>
          <w:rFonts w:ascii="Times New Roman" w:hAnsi="Times New Roman"/>
          <w:i/>
          <w:lang w:val="es-ES"/>
        </w:rPr>
        <w:t xml:space="preserve">Los principios rectores de la política económica y social, </w:t>
      </w:r>
      <w:r>
        <w:rPr>
          <w:rFonts w:ascii="Times New Roman" w:hAnsi="Times New Roman"/>
          <w:lang w:val="es-ES"/>
        </w:rPr>
        <w:t xml:space="preserve">J. Tajadura (dir.), Biblioteca Nueva, Madrid, 2004; </w:t>
      </w:r>
      <w:r>
        <w:rPr>
          <w:rFonts w:ascii="Times New Roman" w:hAnsi="Times New Roman"/>
          <w:highlight w:val="yellow"/>
          <w:lang w:val="es-AR"/>
        </w:rPr>
        <w:t>ESCOBAR ROCA, G.</w:t>
      </w:r>
      <w:r>
        <w:rPr>
          <w:rFonts w:ascii="Times New Roman" w:hAnsi="Times New Roman"/>
          <w:lang w:val="es-AR"/>
        </w:rPr>
        <w:t xml:space="preserve"> (dir.), </w:t>
      </w:r>
      <w:r>
        <w:rPr>
          <w:rFonts w:ascii="Times New Roman" w:hAnsi="Times New Roman"/>
          <w:i/>
          <w:lang w:val="es-AR"/>
        </w:rPr>
        <w:t>Derechos sociales y tutela antidiscriminatoria</w:t>
      </w:r>
      <w:r>
        <w:rPr>
          <w:rFonts w:ascii="Times New Roman" w:hAnsi="Times New Roman"/>
          <w:lang w:val="es-AR"/>
        </w:rPr>
        <w:t xml:space="preserve">, </w:t>
      </w:r>
      <w:r>
        <w:rPr>
          <w:rFonts w:ascii="Times New Roman" w:hAnsi="Times New Roman"/>
          <w:lang w:val="es-AR"/>
        </w:rPr>
        <w:t>Dykinson, Madrid, 2012.</w:t>
      </w:r>
    </w:p>
    <w:p w:rsidR="00000000" w:rsidRDefault="007B5A38">
      <w:pPr>
        <w:pStyle w:val="Textonotapie"/>
        <w:rPr>
          <w:lang w:val="es-ES"/>
        </w:rPr>
      </w:pPr>
    </w:p>
  </w:footnote>
  <w:footnote w:id="34">
    <w:p w:rsidR="00000000" w:rsidRDefault="007B5A38">
      <w:pPr>
        <w:pStyle w:val="Textonotapie"/>
        <w:rPr>
          <w:rFonts w:ascii="Times New Roman" w:hAnsi="Times New Roman"/>
          <w:i/>
          <w:lang w:val="es-AR"/>
        </w:rPr>
      </w:pPr>
      <w:r>
        <w:rPr>
          <w:rStyle w:val="Refdenotaalpie"/>
        </w:rPr>
        <w:footnoteRef/>
      </w:r>
      <w:r>
        <w:rPr>
          <w:lang w:val="es-AR"/>
        </w:rPr>
        <w:t xml:space="preserve"> </w:t>
      </w:r>
      <w:r>
        <w:rPr>
          <w:rFonts w:ascii="Times New Roman" w:hAnsi="Times New Roman"/>
          <w:lang w:val="es-AR"/>
        </w:rPr>
        <w:t xml:space="preserve">Ver </w:t>
      </w:r>
      <w:r>
        <w:rPr>
          <w:rFonts w:ascii="Times New Roman" w:hAnsi="Times New Roman"/>
          <w:highlight w:val="yellow"/>
          <w:lang w:val="es-AR"/>
        </w:rPr>
        <w:t>SARLET, I. W. y TIMM, L. B.</w:t>
      </w:r>
      <w:r>
        <w:rPr>
          <w:rFonts w:ascii="Times New Roman" w:hAnsi="Times New Roman"/>
          <w:lang w:val="es-AR"/>
        </w:rPr>
        <w:t xml:space="preserve"> (orgs.), </w:t>
      </w:r>
      <w:r>
        <w:rPr>
          <w:rFonts w:ascii="Times New Roman" w:hAnsi="Times New Roman"/>
          <w:i/>
          <w:iCs/>
          <w:lang w:val="es-AR"/>
        </w:rPr>
        <w:t>Direitos fundamentais:</w:t>
      </w:r>
      <w:r>
        <w:rPr>
          <w:rFonts w:ascii="Times New Roman" w:hAnsi="Times New Roman"/>
          <w:i/>
          <w:lang w:val="es-AR"/>
        </w:rPr>
        <w:t> orçamento e reserva do possível</w:t>
      </w:r>
      <w:r>
        <w:rPr>
          <w:rFonts w:ascii="Times New Roman" w:hAnsi="Times New Roman"/>
          <w:lang w:val="es-AR"/>
        </w:rPr>
        <w:t xml:space="preserve">, Livraria do Advogado, Porto Alegre, 2008; </w:t>
      </w:r>
      <w:r>
        <w:rPr>
          <w:rFonts w:ascii="Times New Roman" w:hAnsi="Times New Roman"/>
          <w:highlight w:val="yellow"/>
          <w:lang w:val="es-AR"/>
        </w:rPr>
        <w:t>SOUZA NETO, C. P. y SARMENTO, D.</w:t>
      </w:r>
      <w:r>
        <w:rPr>
          <w:rFonts w:ascii="Times New Roman" w:hAnsi="Times New Roman"/>
          <w:lang w:val="es-AR"/>
        </w:rPr>
        <w:t xml:space="preserve"> (orgs.),</w:t>
      </w:r>
      <w:r>
        <w:rPr>
          <w:rFonts w:ascii="Times New Roman" w:hAnsi="Times New Roman"/>
          <w:i/>
          <w:lang w:val="es-AR"/>
        </w:rPr>
        <w:t> </w:t>
      </w:r>
      <w:r>
        <w:rPr>
          <w:rFonts w:ascii="Times New Roman" w:hAnsi="Times New Roman"/>
          <w:bCs/>
          <w:i/>
          <w:lang w:val="es-AR"/>
        </w:rPr>
        <w:t xml:space="preserve">Direitos Sociais: </w:t>
      </w:r>
      <w:r>
        <w:rPr>
          <w:rFonts w:ascii="Times New Roman" w:hAnsi="Times New Roman"/>
          <w:i/>
          <w:lang w:val="es-AR"/>
        </w:rPr>
        <w:t> fundamentos, judicialização e</w:t>
      </w:r>
      <w:r>
        <w:rPr>
          <w:rFonts w:ascii="Times New Roman" w:hAnsi="Times New Roman"/>
          <w:i/>
          <w:lang w:val="es-AR"/>
        </w:rPr>
        <w:t> direitos sociais em espécie</w:t>
      </w:r>
      <w:r>
        <w:rPr>
          <w:rFonts w:ascii="Times New Roman" w:hAnsi="Times New Roman"/>
          <w:lang w:val="es-AR"/>
        </w:rPr>
        <w:t>, Lumen Juris, Río de Janeiro, 2008.</w:t>
      </w:r>
      <w:r>
        <w:rPr>
          <w:lang w:val="es-AR"/>
        </w:rPr>
        <w:t> </w:t>
      </w:r>
    </w:p>
  </w:footnote>
  <w:footnote w:id="35">
    <w:p w:rsidR="00000000" w:rsidRDefault="007B5A38">
      <w:pPr>
        <w:rPr>
          <w:rFonts w:ascii="Times New Roman" w:hAnsi="Times New Roman"/>
          <w:sz w:val="20"/>
          <w:szCs w:val="20"/>
          <w:lang w:val="es-AR"/>
        </w:rPr>
      </w:pPr>
      <w:r>
        <w:rPr>
          <w:rStyle w:val="Refdenotaalpie"/>
        </w:rPr>
        <w:footnoteRef/>
      </w:r>
      <w:r>
        <w:rPr>
          <w:lang w:val="es-AR"/>
        </w:rPr>
        <w:t xml:space="preserve"> </w:t>
      </w:r>
      <w:r>
        <w:rPr>
          <w:rFonts w:ascii="Times New Roman" w:hAnsi="Times New Roman"/>
          <w:sz w:val="20"/>
          <w:szCs w:val="20"/>
          <w:lang w:val="es-AR"/>
        </w:rPr>
        <w:t xml:space="preserve">Ver, en general, </w:t>
      </w:r>
      <w:r>
        <w:rPr>
          <w:rFonts w:ascii="Times New Roman" w:hAnsi="Times New Roman"/>
          <w:sz w:val="20"/>
          <w:szCs w:val="20"/>
          <w:highlight w:val="yellow"/>
          <w:lang w:val="es-AR"/>
        </w:rPr>
        <w:t>GARCÍA VILLEGAS, M.</w:t>
      </w:r>
      <w:r>
        <w:rPr>
          <w:rFonts w:ascii="Times New Roman" w:hAnsi="Times New Roman"/>
          <w:sz w:val="20"/>
          <w:szCs w:val="20"/>
          <w:lang w:val="es-AR"/>
        </w:rPr>
        <w:t>, “Derechos sociales y necesidades políticas. La eficacia judicial de los derechos sociales en el constitucionalismo colombiano”, en SANTOS, B. S. y GAR</w:t>
      </w:r>
      <w:r>
        <w:rPr>
          <w:rFonts w:ascii="Times New Roman" w:hAnsi="Times New Roman"/>
          <w:sz w:val="20"/>
          <w:szCs w:val="20"/>
          <w:lang w:val="es-AR"/>
        </w:rPr>
        <w:t xml:space="preserve">CÍA VILLEGAS, M., (eds.), </w:t>
      </w:r>
      <w:r>
        <w:rPr>
          <w:rFonts w:ascii="Times New Roman" w:hAnsi="Times New Roman"/>
          <w:i/>
          <w:iCs/>
          <w:sz w:val="20"/>
          <w:szCs w:val="20"/>
          <w:lang w:val="es-AR"/>
        </w:rPr>
        <w:t>El caleidoscopio de las justicias en Colombia, </w:t>
      </w:r>
      <w:r>
        <w:rPr>
          <w:rFonts w:ascii="Times New Roman" w:hAnsi="Times New Roman"/>
          <w:sz w:val="20"/>
          <w:szCs w:val="20"/>
          <w:lang w:val="es-AR"/>
        </w:rPr>
        <w:t xml:space="preserve">2001, pp. 455-482; </w:t>
      </w:r>
      <w:r>
        <w:rPr>
          <w:rFonts w:ascii="Times New Roman" w:hAnsi="Times New Roman"/>
          <w:sz w:val="20"/>
          <w:szCs w:val="20"/>
          <w:highlight w:val="yellow"/>
          <w:lang w:val="es-AR"/>
        </w:rPr>
        <w:t>ARANGO, R.,</w:t>
      </w:r>
      <w:r>
        <w:rPr>
          <w:rFonts w:ascii="Times New Roman" w:hAnsi="Times New Roman"/>
          <w:sz w:val="20"/>
          <w:szCs w:val="20"/>
          <w:lang w:val="es-AR"/>
        </w:rPr>
        <w:t> </w:t>
      </w:r>
      <w:r>
        <w:rPr>
          <w:rFonts w:ascii="Times New Roman" w:hAnsi="Times New Roman"/>
          <w:i/>
          <w:sz w:val="20"/>
          <w:szCs w:val="20"/>
          <w:lang w:val="es-AR"/>
        </w:rPr>
        <w:t>El concepto de derechos sociales fundamentales</w:t>
      </w:r>
      <w:r>
        <w:rPr>
          <w:rFonts w:ascii="Times New Roman" w:hAnsi="Times New Roman"/>
          <w:sz w:val="20"/>
          <w:szCs w:val="20"/>
          <w:lang w:val="es-AR"/>
        </w:rPr>
        <w:t xml:space="preserve">, cit.; </w:t>
      </w:r>
      <w:r>
        <w:rPr>
          <w:rFonts w:ascii="Times New Roman" w:hAnsi="Times New Roman"/>
          <w:sz w:val="20"/>
          <w:szCs w:val="20"/>
          <w:highlight w:val="yellow"/>
          <w:lang w:val="es-AR"/>
        </w:rPr>
        <w:t>UPRIMNY, R.</w:t>
      </w:r>
      <w:r>
        <w:rPr>
          <w:rFonts w:ascii="Times New Roman" w:hAnsi="Times New Roman"/>
          <w:sz w:val="20"/>
          <w:szCs w:val="20"/>
          <w:lang w:val="es-AR"/>
        </w:rPr>
        <w:t>, “The Enforcement of Social Rights by the Colombian Constitutional Court: Cases and De</w:t>
      </w:r>
      <w:r>
        <w:rPr>
          <w:rFonts w:ascii="Times New Roman" w:hAnsi="Times New Roman"/>
          <w:sz w:val="20"/>
          <w:szCs w:val="20"/>
          <w:lang w:val="es-AR"/>
        </w:rPr>
        <w:t xml:space="preserve">bates”, en SARMIENTO, P., GARGARELLA, R. y ROUX, T. (eds.), </w:t>
      </w:r>
      <w:r>
        <w:rPr>
          <w:rFonts w:ascii="Times New Roman" w:hAnsi="Times New Roman"/>
          <w:i/>
          <w:sz w:val="20"/>
          <w:szCs w:val="20"/>
          <w:lang w:val="es-AR"/>
        </w:rPr>
        <w:t>Courts and Social Transformation in New Democracies: an Institutional Voice for the Poor?</w:t>
      </w:r>
      <w:r>
        <w:rPr>
          <w:rFonts w:ascii="Times New Roman" w:hAnsi="Times New Roman"/>
          <w:sz w:val="20"/>
          <w:szCs w:val="20"/>
          <w:lang w:val="es-AR"/>
        </w:rPr>
        <w:t xml:space="preserve">, Ashgate, Aldershot, 2006, pp. 127-152; </w:t>
      </w:r>
      <w:r>
        <w:rPr>
          <w:rFonts w:ascii="Times New Roman" w:hAnsi="Times New Roman"/>
          <w:sz w:val="20"/>
          <w:szCs w:val="20"/>
          <w:highlight w:val="yellow"/>
          <w:lang w:val="es-AR"/>
        </w:rPr>
        <w:t>PÉREZ, L. E., RODRÍGUEZ, C.  y  UPRIMNY, R</w:t>
      </w:r>
      <w:r>
        <w:rPr>
          <w:rFonts w:ascii="Times New Roman" w:hAnsi="Times New Roman"/>
          <w:sz w:val="20"/>
          <w:szCs w:val="20"/>
          <w:lang w:val="es-AR"/>
        </w:rPr>
        <w:t xml:space="preserve">., </w:t>
      </w:r>
      <w:r>
        <w:rPr>
          <w:rFonts w:ascii="Times New Roman" w:hAnsi="Times New Roman"/>
          <w:i/>
          <w:sz w:val="20"/>
          <w:szCs w:val="20"/>
          <w:lang w:val="es-AR"/>
        </w:rPr>
        <w:t>Los derechos sociales</w:t>
      </w:r>
      <w:r>
        <w:rPr>
          <w:rFonts w:ascii="Times New Roman" w:hAnsi="Times New Roman"/>
          <w:i/>
          <w:sz w:val="20"/>
          <w:szCs w:val="20"/>
          <w:lang w:val="es-AR"/>
        </w:rPr>
        <w:t xml:space="preserve"> en serio: hacia un diálogo entre derechos y políticas públicas</w:t>
      </w:r>
      <w:r>
        <w:rPr>
          <w:rFonts w:ascii="Times New Roman" w:hAnsi="Times New Roman"/>
          <w:sz w:val="20"/>
          <w:szCs w:val="20"/>
          <w:lang w:val="es-AR"/>
        </w:rPr>
        <w:t>, Dejusticia-IDEP, Bogotá, 2007.</w:t>
      </w:r>
    </w:p>
    <w:p w:rsidR="00000000" w:rsidRDefault="007B5A38">
      <w:pPr>
        <w:pStyle w:val="Textonotapie"/>
        <w:rPr>
          <w:lang w:val="es-AR"/>
        </w:rPr>
      </w:pPr>
    </w:p>
  </w:footnote>
  <w:footnote w:id="36">
    <w:p w:rsidR="00000000" w:rsidRDefault="007B5A38">
      <w:pPr>
        <w:rPr>
          <w:rFonts w:ascii="Times New Roman" w:hAnsi="Times New Roman"/>
          <w:sz w:val="20"/>
          <w:szCs w:val="20"/>
          <w:lang w:val="es-AR"/>
        </w:rPr>
      </w:pPr>
      <w:r>
        <w:rPr>
          <w:rStyle w:val="Refdenotaalpie"/>
          <w:rFonts w:ascii="Times New Roman" w:hAnsi="Times New Roman"/>
          <w:sz w:val="20"/>
          <w:szCs w:val="20"/>
        </w:rPr>
        <w:footnoteRef/>
      </w:r>
      <w:r>
        <w:rPr>
          <w:rFonts w:ascii="Times New Roman" w:hAnsi="Times New Roman"/>
          <w:sz w:val="20"/>
          <w:szCs w:val="20"/>
          <w:lang w:val="es-AR"/>
        </w:rPr>
        <w:t xml:space="preserve"> Ver, en general, </w:t>
      </w:r>
      <w:r>
        <w:rPr>
          <w:rFonts w:ascii="Times New Roman" w:hAnsi="Times New Roman"/>
          <w:sz w:val="20"/>
          <w:szCs w:val="20"/>
          <w:highlight w:val="yellow"/>
          <w:lang w:val="es-ES_tradnl"/>
        </w:rPr>
        <w:t>COURTIS, C. y GARGARELLA, R.</w:t>
      </w:r>
      <w:r>
        <w:rPr>
          <w:rFonts w:ascii="Times New Roman" w:hAnsi="Times New Roman"/>
          <w:sz w:val="20"/>
          <w:szCs w:val="20"/>
          <w:lang w:val="es-ES_tradnl"/>
        </w:rPr>
        <w:t>, “El nuevo constitucionalismo latinoamericano. Promesas e interrogantes”, en HOPENHAYN, M. y SOJO, A. (comps.),</w:t>
      </w:r>
      <w:r>
        <w:rPr>
          <w:rFonts w:ascii="Times New Roman" w:hAnsi="Times New Roman"/>
          <w:sz w:val="20"/>
          <w:szCs w:val="20"/>
          <w:lang w:val="es-ES_tradnl"/>
        </w:rPr>
        <w:t xml:space="preserve"> </w:t>
      </w:r>
      <w:r>
        <w:rPr>
          <w:rFonts w:ascii="Times New Roman" w:hAnsi="Times New Roman"/>
          <w:i/>
          <w:sz w:val="20"/>
          <w:szCs w:val="20"/>
          <w:lang w:val="es-ES_tradnl"/>
        </w:rPr>
        <w:t>Sentido de pertenencia en sociedades fragmentadas. América Latina desde una perspectiva global</w:t>
      </w:r>
      <w:r>
        <w:rPr>
          <w:rFonts w:ascii="Times New Roman" w:hAnsi="Times New Roman"/>
          <w:sz w:val="20"/>
          <w:szCs w:val="20"/>
          <w:lang w:val="es-ES_tradnl"/>
        </w:rPr>
        <w:t xml:space="preserve">, Siglo XXI-CEPAL, Buenos Aires, 2011, pp. 307-343 </w:t>
      </w:r>
      <w:r>
        <w:rPr>
          <w:rFonts w:ascii="Times New Roman" w:hAnsi="Times New Roman"/>
          <w:sz w:val="20"/>
          <w:szCs w:val="20"/>
          <w:lang w:val="es-AR"/>
        </w:rPr>
        <w:t xml:space="preserve">y  </w:t>
      </w:r>
      <w:r>
        <w:rPr>
          <w:rFonts w:ascii="Times New Roman" w:hAnsi="Times New Roman"/>
          <w:sz w:val="20"/>
          <w:szCs w:val="20"/>
          <w:highlight w:val="yellow"/>
          <w:lang w:val="es-AR"/>
        </w:rPr>
        <w:t>PISARELLO, G.</w:t>
      </w:r>
      <w:r>
        <w:rPr>
          <w:rFonts w:ascii="Times New Roman" w:hAnsi="Times New Roman"/>
          <w:sz w:val="20"/>
          <w:szCs w:val="20"/>
          <w:lang w:val="es-AR"/>
        </w:rPr>
        <w:t xml:space="preserve">, </w:t>
      </w:r>
      <w:r>
        <w:rPr>
          <w:rFonts w:ascii="Times New Roman" w:hAnsi="Times New Roman"/>
          <w:i/>
          <w:sz w:val="20"/>
          <w:szCs w:val="20"/>
          <w:lang w:val="es-AR"/>
        </w:rPr>
        <w:t>Un largo Termidor. La ofensiva del constitucionalismo antidemocrático</w:t>
      </w:r>
      <w:r>
        <w:rPr>
          <w:rFonts w:ascii="Times New Roman" w:hAnsi="Times New Roman"/>
          <w:sz w:val="20"/>
          <w:szCs w:val="20"/>
          <w:lang w:val="es-AR"/>
        </w:rPr>
        <w:t>, cit., pp. 196-210.</w:t>
      </w:r>
    </w:p>
  </w:footnote>
  <w:footnote w:id="37">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w:t>
      </w:r>
      <w:r>
        <w:rPr>
          <w:rFonts w:ascii="Times New Roman" w:hAnsi="Times New Roman"/>
          <w:lang w:val="es-AR"/>
        </w:rPr>
        <w:t>Ver constituciones de Argentina, art. 42, Bolivia arts. 75-76,  Costa Rica art. 46, Ecuador arts. 52-55 y República Dominicana, art. 53.</w:t>
      </w:r>
    </w:p>
  </w:footnote>
  <w:footnote w:id="38">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Argentina, art. 41, Bolivia, art. 33, Chile art. 19.8, Costa Rica, art. 50, Ecuador arts. 14-15</w:t>
      </w:r>
      <w:r>
        <w:rPr>
          <w:rFonts w:ascii="Times New Roman" w:hAnsi="Times New Roman"/>
          <w:lang w:val="es-AR"/>
        </w:rPr>
        <w:t>, Guatemala art. 97; México, art.  4, Nicaragua art. 60, Paraguay arts. 7-8, República Dominicana, art.  67 y Venezuela, arts. 127-129.</w:t>
      </w:r>
    </w:p>
  </w:footnote>
  <w:footnote w:id="39">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constitución de Ecuador, arts.71-74.</w:t>
      </w:r>
    </w:p>
  </w:footnote>
  <w:footnote w:id="40">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Bolivia, arts. 58-61, Ecuador, arts. 44-46, El Salvad</w:t>
      </w:r>
      <w:r>
        <w:rPr>
          <w:rFonts w:ascii="Times New Roman" w:hAnsi="Times New Roman"/>
          <w:lang w:val="es-AR"/>
        </w:rPr>
        <w:t>or, arts. 33-34, Honduras, arts. 119-126,  México, arts. 4, Nicaragua, art. 61, Paraguay, art. 54, República Dominicana, art. 56 y Venezuela, art. 78.</w:t>
      </w:r>
    </w:p>
  </w:footnote>
  <w:footnote w:id="41">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Bolivia, arts.70-72, Ecuador, arts.47-49, Guatemala, art. 53,  Nicaragua,</w:t>
      </w:r>
      <w:r>
        <w:rPr>
          <w:rFonts w:ascii="Times New Roman" w:hAnsi="Times New Roman"/>
          <w:sz w:val="22"/>
          <w:szCs w:val="22"/>
          <w:lang w:val="es-AR"/>
        </w:rPr>
        <w:t xml:space="preserve"> </w:t>
      </w:r>
      <w:r>
        <w:rPr>
          <w:rFonts w:ascii="Times New Roman" w:hAnsi="Times New Roman"/>
          <w:lang w:val="es-AR"/>
        </w:rPr>
        <w:t>art. 56</w:t>
      </w:r>
      <w:r>
        <w:rPr>
          <w:rFonts w:ascii="Times New Roman" w:hAnsi="Times New Roman"/>
          <w:lang w:val="es-AR"/>
        </w:rPr>
        <w:t>, Paraguay, art.  58, República Dominicana, art.58 y Venezuela,</w:t>
      </w:r>
      <w:r>
        <w:rPr>
          <w:rFonts w:ascii="Times New Roman" w:hAnsi="Times New Roman"/>
          <w:sz w:val="22"/>
          <w:szCs w:val="22"/>
          <w:lang w:val="es-AR"/>
        </w:rPr>
        <w:t xml:space="preserve"> </w:t>
      </w:r>
      <w:r>
        <w:rPr>
          <w:rFonts w:ascii="Times New Roman" w:hAnsi="Times New Roman"/>
          <w:lang w:val="es-AR"/>
        </w:rPr>
        <w:t>art. 81.</w:t>
      </w:r>
    </w:p>
  </w:footnote>
  <w:footnote w:id="42">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Bolivia, arts. 67-69, Ecuador, arts.36-38, Nicaragua, arts.67, Paraguay,</w:t>
      </w:r>
      <w:r>
        <w:rPr>
          <w:rFonts w:ascii="Times New Roman" w:hAnsi="Times New Roman"/>
          <w:sz w:val="22"/>
          <w:szCs w:val="22"/>
          <w:lang w:val="es-AR"/>
        </w:rPr>
        <w:t xml:space="preserve"> </w:t>
      </w:r>
      <w:r>
        <w:rPr>
          <w:rFonts w:ascii="Times New Roman" w:hAnsi="Times New Roman"/>
          <w:lang w:val="es-AR"/>
        </w:rPr>
        <w:t>arts. 57, República Dominicana, art.57 y Venezuela, art. 80.</w:t>
      </w:r>
    </w:p>
  </w:footnote>
  <w:footnote w:id="43">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A</w:t>
      </w:r>
      <w:r>
        <w:rPr>
          <w:rFonts w:ascii="Times New Roman" w:hAnsi="Times New Roman"/>
          <w:lang w:val="es-AR"/>
        </w:rPr>
        <w:t>rgentina,</w:t>
      </w:r>
      <w:r>
        <w:rPr>
          <w:rFonts w:ascii="Times New Roman" w:hAnsi="Times New Roman"/>
          <w:sz w:val="22"/>
          <w:szCs w:val="22"/>
          <w:lang w:val="es-AR"/>
        </w:rPr>
        <w:t xml:space="preserve"> </w:t>
      </w:r>
      <w:r>
        <w:rPr>
          <w:rFonts w:ascii="Times New Roman" w:hAnsi="Times New Roman"/>
          <w:lang w:val="es-AR"/>
        </w:rPr>
        <w:t>art. 75.17, Bolivia, arts. 30-32, Ecuador,</w:t>
      </w:r>
      <w:r>
        <w:rPr>
          <w:rFonts w:ascii="Times New Roman" w:hAnsi="Times New Roman"/>
          <w:sz w:val="22"/>
          <w:szCs w:val="22"/>
          <w:lang w:val="es-AR"/>
        </w:rPr>
        <w:t xml:space="preserve"> </w:t>
      </w:r>
      <w:r>
        <w:rPr>
          <w:rFonts w:ascii="Times New Roman" w:hAnsi="Times New Roman"/>
          <w:lang w:val="es-AR"/>
        </w:rPr>
        <w:t>arts. 56-60, Guatemala, arts.66-70, México, art.2, Nicaragua, arts. 89-91, Paraguay, arts. 62-67 y Venezuela,</w:t>
      </w:r>
      <w:r>
        <w:rPr>
          <w:rFonts w:ascii="Times New Roman" w:hAnsi="Times New Roman"/>
          <w:sz w:val="22"/>
          <w:szCs w:val="22"/>
          <w:lang w:val="es-AR"/>
        </w:rPr>
        <w:t xml:space="preserve"> </w:t>
      </w:r>
      <w:r>
        <w:rPr>
          <w:rFonts w:ascii="Times New Roman" w:hAnsi="Times New Roman"/>
          <w:lang w:val="es-AR"/>
        </w:rPr>
        <w:t>arts. 119-126.</w:t>
      </w:r>
    </w:p>
  </w:footnote>
  <w:footnote w:id="44">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Bolivia,</w:t>
      </w:r>
      <w:r>
        <w:rPr>
          <w:rFonts w:ascii="Times New Roman" w:hAnsi="Times New Roman"/>
          <w:sz w:val="22"/>
          <w:szCs w:val="22"/>
          <w:lang w:val="es-AR"/>
        </w:rPr>
        <w:t xml:space="preserve"> </w:t>
      </w:r>
      <w:r>
        <w:rPr>
          <w:rFonts w:ascii="Times New Roman" w:hAnsi="Times New Roman"/>
          <w:lang w:val="es-AR"/>
        </w:rPr>
        <w:t>art. 16, Brasil,</w:t>
      </w:r>
      <w:r>
        <w:rPr>
          <w:rFonts w:ascii="Times New Roman" w:hAnsi="Times New Roman"/>
          <w:sz w:val="22"/>
          <w:szCs w:val="22"/>
          <w:lang w:val="es-AR"/>
        </w:rPr>
        <w:t xml:space="preserve"> </w:t>
      </w:r>
      <w:r>
        <w:rPr>
          <w:rFonts w:ascii="Times New Roman" w:hAnsi="Times New Roman"/>
          <w:lang w:val="es-AR"/>
        </w:rPr>
        <w:t>art. 6, Ecuador, art.13, Gua</w:t>
      </w:r>
      <w:r>
        <w:rPr>
          <w:rFonts w:ascii="Times New Roman" w:hAnsi="Times New Roman"/>
          <w:lang w:val="es-AR"/>
        </w:rPr>
        <w:t>temala, art. 99,  México,</w:t>
      </w:r>
      <w:r>
        <w:rPr>
          <w:rFonts w:ascii="Times New Roman" w:hAnsi="Times New Roman"/>
          <w:sz w:val="22"/>
          <w:szCs w:val="22"/>
          <w:lang w:val="es-AR"/>
        </w:rPr>
        <w:t xml:space="preserve"> </w:t>
      </w:r>
      <w:r>
        <w:rPr>
          <w:rFonts w:ascii="Times New Roman" w:hAnsi="Times New Roman"/>
          <w:lang w:val="es-AR"/>
        </w:rPr>
        <w:t>art. 4 y Nicaragua, art.63.</w:t>
      </w:r>
    </w:p>
  </w:footnote>
  <w:footnote w:id="45">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Bolivia, art.16, Ecuador,</w:t>
      </w:r>
      <w:r>
        <w:rPr>
          <w:rFonts w:ascii="Times New Roman" w:hAnsi="Times New Roman"/>
          <w:sz w:val="22"/>
          <w:szCs w:val="22"/>
          <w:lang w:val="es-AR"/>
        </w:rPr>
        <w:t xml:space="preserve"> </w:t>
      </w:r>
      <w:r>
        <w:rPr>
          <w:rFonts w:ascii="Times New Roman" w:hAnsi="Times New Roman"/>
          <w:lang w:val="es-AR"/>
        </w:rPr>
        <w:t>art. 12 y México,</w:t>
      </w:r>
      <w:r>
        <w:rPr>
          <w:rFonts w:ascii="Times New Roman" w:hAnsi="Times New Roman"/>
          <w:sz w:val="22"/>
          <w:szCs w:val="22"/>
          <w:lang w:val="es-AR"/>
        </w:rPr>
        <w:t xml:space="preserve"> </w:t>
      </w:r>
      <w:r>
        <w:rPr>
          <w:rFonts w:ascii="Times New Roman" w:hAnsi="Times New Roman"/>
          <w:lang w:val="es-AR"/>
        </w:rPr>
        <w:t>art. 4.</w:t>
      </w:r>
    </w:p>
  </w:footnote>
  <w:footnote w:id="46">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Bolivia, art. 20 y República Dominicana,</w:t>
      </w:r>
      <w:r>
        <w:rPr>
          <w:rFonts w:ascii="Times New Roman" w:hAnsi="Times New Roman"/>
          <w:sz w:val="22"/>
          <w:szCs w:val="22"/>
          <w:lang w:val="es-AR"/>
        </w:rPr>
        <w:t xml:space="preserve"> </w:t>
      </w:r>
      <w:r>
        <w:rPr>
          <w:rFonts w:ascii="Times New Roman" w:hAnsi="Times New Roman"/>
          <w:lang w:val="es-AR"/>
        </w:rPr>
        <w:t>art. 59.</w:t>
      </w:r>
    </w:p>
  </w:footnote>
  <w:footnote w:id="47">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Argentina, art. 43, Bolivia,</w:t>
      </w:r>
      <w:r>
        <w:rPr>
          <w:rFonts w:ascii="Times New Roman" w:hAnsi="Times New Roman"/>
          <w:sz w:val="22"/>
          <w:szCs w:val="22"/>
          <w:lang w:val="es-AR"/>
        </w:rPr>
        <w:t xml:space="preserve"> </w:t>
      </w:r>
      <w:r>
        <w:rPr>
          <w:rFonts w:ascii="Times New Roman" w:hAnsi="Times New Roman"/>
          <w:lang w:val="es-AR"/>
        </w:rPr>
        <w:t>arts. 34, 135 y 136, Paraguay, art.38 y Venezuela, art. 26.</w:t>
      </w:r>
    </w:p>
  </w:footnote>
  <w:footnote w:id="48">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Ver constituciones de Argentina, art.75.22,  México,</w:t>
      </w:r>
      <w:r>
        <w:rPr>
          <w:rFonts w:ascii="Times New Roman" w:hAnsi="Times New Roman"/>
          <w:sz w:val="22"/>
          <w:szCs w:val="22"/>
          <w:lang w:val="es-AR"/>
        </w:rPr>
        <w:t xml:space="preserve"> </w:t>
      </w:r>
      <w:r>
        <w:rPr>
          <w:rFonts w:ascii="Times New Roman" w:hAnsi="Times New Roman"/>
          <w:lang w:val="es-AR"/>
        </w:rPr>
        <w:t>art. 1 y Nicaragua art. 46.</w:t>
      </w:r>
    </w:p>
  </w:footnote>
  <w:footnote w:id="49">
    <w:p w:rsidR="00000000" w:rsidRDefault="007B5A38">
      <w:pPr>
        <w:rPr>
          <w:rFonts w:ascii="Times New Roman" w:hAnsi="Times New Roman"/>
          <w:sz w:val="20"/>
          <w:szCs w:val="20"/>
        </w:rPr>
      </w:pPr>
      <w:r>
        <w:rPr>
          <w:rStyle w:val="Refdenotaalpie"/>
        </w:rPr>
        <w:footnoteRef/>
      </w:r>
      <w:r>
        <w:t xml:space="preserve"> </w:t>
      </w:r>
      <w:r>
        <w:rPr>
          <w:rFonts w:ascii="Times New Roman" w:hAnsi="Times New Roman"/>
          <w:sz w:val="20"/>
          <w:szCs w:val="20"/>
          <w:highlight w:val="yellow"/>
        </w:rPr>
        <w:t>SADURSKI, W.,</w:t>
      </w:r>
      <w:r>
        <w:rPr>
          <w:rFonts w:ascii="Times New Roman" w:hAnsi="Times New Roman"/>
          <w:sz w:val="20"/>
          <w:szCs w:val="20"/>
        </w:rPr>
        <w:t xml:space="preserve"> </w:t>
      </w:r>
      <w:r>
        <w:rPr>
          <w:rFonts w:ascii="Times New Roman" w:hAnsi="Times New Roman"/>
          <w:i/>
          <w:sz w:val="20"/>
          <w:szCs w:val="20"/>
        </w:rPr>
        <w:t>Rights Before Courts: A Study of Constitutional Courts in Postcommunist States of Central and Ea</w:t>
      </w:r>
      <w:r>
        <w:rPr>
          <w:rFonts w:ascii="Times New Roman" w:hAnsi="Times New Roman"/>
          <w:i/>
          <w:sz w:val="20"/>
          <w:szCs w:val="20"/>
        </w:rPr>
        <w:t>stern Europe</w:t>
      </w:r>
      <w:r>
        <w:rPr>
          <w:rFonts w:ascii="Times New Roman" w:hAnsi="Times New Roman"/>
          <w:sz w:val="20"/>
          <w:szCs w:val="20"/>
        </w:rPr>
        <w:t>, Springer, Dordrecht, 2005.</w:t>
      </w:r>
    </w:p>
  </w:footnote>
  <w:footnote w:id="50">
    <w:p w:rsidR="00000000" w:rsidRDefault="007B5A38">
      <w:pPr>
        <w:rPr>
          <w:rFonts w:ascii="Times New Roman" w:hAnsi="Times New Roman"/>
          <w:sz w:val="20"/>
          <w:szCs w:val="20"/>
        </w:rPr>
      </w:pPr>
      <w:r>
        <w:rPr>
          <w:rStyle w:val="Refdenotaalpie"/>
        </w:rPr>
        <w:footnoteRef/>
      </w:r>
      <w:r>
        <w:t xml:space="preserve"> </w:t>
      </w:r>
      <w:r>
        <w:rPr>
          <w:rFonts w:ascii="Times New Roman" w:hAnsi="Times New Roman"/>
          <w:sz w:val="20"/>
          <w:szCs w:val="20"/>
        </w:rPr>
        <w:t>Ver</w:t>
      </w:r>
      <w:r>
        <w:rPr>
          <w:sz w:val="20"/>
          <w:szCs w:val="20"/>
        </w:rPr>
        <w:t xml:space="preserve"> </w:t>
      </w:r>
      <w:r>
        <w:rPr>
          <w:rFonts w:ascii="Times New Roman" w:hAnsi="Times New Roman"/>
          <w:sz w:val="20"/>
          <w:szCs w:val="20"/>
          <w:highlight w:val="yellow"/>
        </w:rPr>
        <w:t>BRAND, D. y HEYNS, C.</w:t>
      </w:r>
      <w:r>
        <w:rPr>
          <w:rFonts w:ascii="Times New Roman" w:hAnsi="Times New Roman"/>
          <w:sz w:val="20"/>
          <w:szCs w:val="20"/>
        </w:rPr>
        <w:t xml:space="preserve">, </w:t>
      </w:r>
      <w:r>
        <w:rPr>
          <w:rFonts w:ascii="Times New Roman" w:hAnsi="Times New Roman"/>
          <w:i/>
          <w:sz w:val="20"/>
          <w:szCs w:val="20"/>
        </w:rPr>
        <w:t>Socio-Economic Rights in South Africa</w:t>
      </w:r>
      <w:r>
        <w:rPr>
          <w:rFonts w:ascii="Times New Roman" w:hAnsi="Times New Roman"/>
          <w:sz w:val="20"/>
          <w:szCs w:val="20"/>
        </w:rPr>
        <w:t xml:space="preserve">, Pretoria University Law Press, Pretoria, 2005;  </w:t>
      </w:r>
      <w:r>
        <w:rPr>
          <w:rFonts w:ascii="Times New Roman" w:hAnsi="Times New Roman"/>
          <w:sz w:val="20"/>
          <w:szCs w:val="20"/>
          <w:highlight w:val="yellow"/>
        </w:rPr>
        <w:t>LIEBENBERG, S.</w:t>
      </w:r>
      <w:r>
        <w:rPr>
          <w:rFonts w:ascii="Times New Roman" w:hAnsi="Times New Roman"/>
          <w:sz w:val="20"/>
          <w:szCs w:val="20"/>
        </w:rPr>
        <w:t xml:space="preserve">, </w:t>
      </w:r>
      <w:r>
        <w:rPr>
          <w:rFonts w:ascii="Times New Roman" w:hAnsi="Times New Roman"/>
          <w:i/>
          <w:sz w:val="20"/>
          <w:szCs w:val="20"/>
        </w:rPr>
        <w:t>Socio-Economic Rights: adjudication under a transformative constitution</w:t>
      </w:r>
      <w:r>
        <w:rPr>
          <w:rFonts w:ascii="Times New Roman" w:hAnsi="Times New Roman"/>
          <w:sz w:val="20"/>
          <w:szCs w:val="20"/>
        </w:rPr>
        <w:t>, Juta, Clar</w:t>
      </w:r>
      <w:r>
        <w:rPr>
          <w:rFonts w:ascii="Times New Roman" w:hAnsi="Times New Roman"/>
          <w:sz w:val="20"/>
          <w:szCs w:val="20"/>
        </w:rPr>
        <w:t>emont, 2010.</w:t>
      </w:r>
    </w:p>
    <w:p w:rsidR="00000000" w:rsidRDefault="007B5A38">
      <w:pPr>
        <w:pStyle w:val="Textonotapie"/>
      </w:pPr>
    </w:p>
  </w:footnote>
  <w:footnote w:id="51">
    <w:p w:rsidR="00000000" w:rsidRDefault="007B5A38">
      <w:pPr>
        <w:rPr>
          <w:rFonts w:ascii="Times New Roman" w:hAnsi="Times New Roman"/>
          <w:lang w:val="es-AR"/>
        </w:rPr>
      </w:pPr>
      <w:r>
        <w:rPr>
          <w:rStyle w:val="Refdenotaalpie"/>
        </w:rPr>
        <w:footnoteRef/>
      </w:r>
      <w:r>
        <w:rPr>
          <w:lang w:val="es-AR"/>
        </w:rPr>
        <w:t xml:space="preserve"> </w:t>
      </w:r>
      <w:r>
        <w:rPr>
          <w:rFonts w:ascii="Times New Roman" w:hAnsi="Times New Roman"/>
          <w:sz w:val="20"/>
          <w:szCs w:val="20"/>
          <w:lang w:val="es-AR"/>
        </w:rPr>
        <w:t xml:space="preserve">Ver </w:t>
      </w:r>
      <w:r>
        <w:rPr>
          <w:rFonts w:ascii="Times New Roman" w:hAnsi="Times New Roman"/>
          <w:sz w:val="20"/>
          <w:szCs w:val="20"/>
          <w:highlight w:val="yellow"/>
          <w:lang w:val="es-AR"/>
        </w:rPr>
        <w:t>GROSS ESPIELL, H</w:t>
      </w:r>
      <w:r>
        <w:rPr>
          <w:rFonts w:ascii="Times New Roman" w:hAnsi="Times New Roman"/>
          <w:sz w:val="20"/>
          <w:szCs w:val="20"/>
          <w:lang w:val="es-AR"/>
        </w:rPr>
        <w:t xml:space="preserve">., </w:t>
      </w:r>
      <w:r>
        <w:rPr>
          <w:rFonts w:ascii="Times New Roman" w:hAnsi="Times New Roman"/>
          <w:i/>
          <w:sz w:val="20"/>
          <w:szCs w:val="20"/>
          <w:lang w:val="es-AR"/>
        </w:rPr>
        <w:t>La Organización Internacional del Trabajo y los derechos humanos en América Latina</w:t>
      </w:r>
      <w:r>
        <w:rPr>
          <w:rFonts w:ascii="Times New Roman" w:hAnsi="Times New Roman"/>
          <w:sz w:val="20"/>
          <w:szCs w:val="20"/>
          <w:lang w:val="es-AR"/>
        </w:rPr>
        <w:t>, EUDEBA, Buenos Aires, 1986.</w:t>
      </w:r>
    </w:p>
    <w:p w:rsidR="00000000" w:rsidRDefault="007B5A38">
      <w:pPr>
        <w:pStyle w:val="Textonotapie"/>
        <w:rPr>
          <w:lang w:val="es-AR"/>
        </w:rPr>
      </w:pPr>
    </w:p>
  </w:footnote>
  <w:footnote w:id="52">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por ejemplo, </w:t>
      </w:r>
      <w:r>
        <w:rPr>
          <w:rFonts w:ascii="Times New Roman" w:hAnsi="Times New Roman"/>
          <w:highlight w:val="yellow"/>
          <w:lang w:val="es-AR"/>
        </w:rPr>
        <w:t>GLENDON, M. A</w:t>
      </w:r>
      <w:r>
        <w:rPr>
          <w:rFonts w:ascii="Times New Roman" w:hAnsi="Times New Roman"/>
          <w:lang w:val="es-AR"/>
        </w:rPr>
        <w:t xml:space="preserve">., </w:t>
      </w:r>
      <w:r>
        <w:rPr>
          <w:rFonts w:ascii="Times New Roman" w:hAnsi="Times New Roman"/>
          <w:i/>
          <w:lang w:val="es-AR"/>
        </w:rPr>
        <w:t>A World Made New. Eleanor Roosevelt and the Universal Declaration of</w:t>
      </w:r>
      <w:r>
        <w:rPr>
          <w:rFonts w:ascii="Times New Roman" w:hAnsi="Times New Roman"/>
          <w:i/>
          <w:lang w:val="es-AR"/>
        </w:rPr>
        <w:t xml:space="preserve"> Human Rights</w:t>
      </w:r>
      <w:r>
        <w:rPr>
          <w:rFonts w:ascii="Times New Roman" w:hAnsi="Times New Roman"/>
          <w:lang w:val="es-AR"/>
        </w:rPr>
        <w:t xml:space="preserve">, Random House, Nueva York, 2001, pp. 57-58 (versión en castellano: </w:t>
      </w:r>
      <w:r>
        <w:rPr>
          <w:rFonts w:ascii="Times New Roman" w:hAnsi="Times New Roman"/>
          <w:i/>
          <w:lang w:val="es-AR"/>
        </w:rPr>
        <w:t>Un mundo nuevo. Eleanor Roosevelt y la Declaración Universal de los Derechos Humanos</w:t>
      </w:r>
      <w:r>
        <w:rPr>
          <w:rFonts w:ascii="Times New Roman" w:hAnsi="Times New Roman"/>
          <w:lang w:val="es-AR"/>
        </w:rPr>
        <w:t xml:space="preserve">, trad. de P. Pallares Yabur, Fondo de Cultura Económica, México, 2011); </w:t>
      </w:r>
      <w:r>
        <w:rPr>
          <w:rFonts w:ascii="Times New Roman" w:hAnsi="Times New Roman"/>
          <w:highlight w:val="yellow"/>
          <w:lang w:val="es-AR"/>
        </w:rPr>
        <w:t>GLENDON, M. A</w:t>
      </w:r>
      <w:r>
        <w:rPr>
          <w:rFonts w:ascii="Times New Roman" w:hAnsi="Times New Roman"/>
          <w:lang w:val="es-AR"/>
        </w:rPr>
        <w:t>., “E</w:t>
      </w:r>
      <w:r>
        <w:rPr>
          <w:rFonts w:ascii="Times New Roman" w:hAnsi="Times New Roman"/>
          <w:lang w:val="es-AR"/>
        </w:rPr>
        <w:t xml:space="preserve">l crisol olvidado: la influencia latinoamericana en la idea de los derechos humanos universales”, trad. de C. Paternina y P. Mata, en Persona y Derecho, vol. 51, 2004, pp. 103-123; </w:t>
      </w:r>
      <w:r>
        <w:rPr>
          <w:rFonts w:ascii="Times New Roman" w:hAnsi="Times New Roman"/>
          <w:highlight w:val="yellow"/>
          <w:lang w:val="es-AR"/>
        </w:rPr>
        <w:t>HUMPHREY, J. P</w:t>
      </w:r>
      <w:r>
        <w:rPr>
          <w:rFonts w:ascii="Times New Roman" w:hAnsi="Times New Roman"/>
          <w:lang w:val="es-AR"/>
        </w:rPr>
        <w:t xml:space="preserve">., </w:t>
      </w:r>
      <w:r>
        <w:rPr>
          <w:rFonts w:ascii="Times New Roman" w:hAnsi="Times New Roman"/>
          <w:i/>
          <w:lang w:val="es-AR"/>
        </w:rPr>
        <w:t>Human Rights and the United Nations: a great adventure</w:t>
      </w:r>
      <w:r>
        <w:rPr>
          <w:rFonts w:ascii="Times New Roman" w:hAnsi="Times New Roman"/>
          <w:lang w:val="es-AR"/>
        </w:rPr>
        <w:t>, Tr</w:t>
      </w:r>
      <w:r>
        <w:rPr>
          <w:rFonts w:ascii="Times New Roman" w:hAnsi="Times New Roman"/>
          <w:lang w:val="es-AR"/>
        </w:rPr>
        <w:t xml:space="preserve">ansnational Publishers, Nueva York, 1984, pp. 31-32; </w:t>
      </w:r>
      <w:r>
        <w:rPr>
          <w:rFonts w:ascii="Times New Roman" w:hAnsi="Times New Roman"/>
          <w:highlight w:val="yellow"/>
          <w:lang w:val="es-AR"/>
        </w:rPr>
        <w:t>MORSINK, J</w:t>
      </w:r>
      <w:r>
        <w:rPr>
          <w:rFonts w:ascii="Times New Roman" w:hAnsi="Times New Roman"/>
          <w:lang w:val="es-AR"/>
        </w:rPr>
        <w:t xml:space="preserve">., </w:t>
      </w:r>
      <w:r>
        <w:rPr>
          <w:rFonts w:ascii="Times New Roman" w:hAnsi="Times New Roman"/>
          <w:i/>
          <w:lang w:val="es-AR"/>
        </w:rPr>
        <w:t>The Universal Declaration of Human Rights: Origins, Drafting and Intent</w:t>
      </w:r>
      <w:r>
        <w:rPr>
          <w:rFonts w:ascii="Times New Roman" w:hAnsi="Times New Roman"/>
          <w:lang w:val="es-AR"/>
        </w:rPr>
        <w:t>, University of Pennsylvania Press, Filadelfia, 2000, pp. 6, 130-134.</w:t>
      </w:r>
    </w:p>
  </w:footnote>
  <w:footnote w:id="53">
    <w:p w:rsidR="00000000" w:rsidRDefault="007B5A38">
      <w:pPr>
        <w:pStyle w:val="Textonotapie"/>
        <w:rPr>
          <w:rFonts w:ascii="Times New Roman" w:hAnsi="Times New Roman"/>
        </w:rPr>
      </w:pPr>
      <w:r>
        <w:rPr>
          <w:rStyle w:val="Refdenotaalpie"/>
          <w:rFonts w:ascii="Times New Roman" w:hAnsi="Times New Roman"/>
        </w:rPr>
        <w:footnoteRef/>
      </w:r>
      <w:r>
        <w:rPr>
          <w:rFonts w:ascii="Times New Roman" w:hAnsi="Times New Roman"/>
          <w:lang w:val="es-AR"/>
        </w:rPr>
        <w:t xml:space="preserve"> Que no era sino una versión preliminar de la po</w:t>
      </w:r>
      <w:r>
        <w:rPr>
          <w:rFonts w:ascii="Times New Roman" w:hAnsi="Times New Roman"/>
          <w:lang w:val="es-AR"/>
        </w:rPr>
        <w:t>steriormente adoptada Declaración Americana de Derechos y Deberes del Hombre. El Comité Redactor de la Declaración Universal también tuvo en cuenta el texto de la Declaración Americana de Derechos y Deberes del Hombre, remitida por la Organización de los E</w:t>
      </w:r>
      <w:r>
        <w:rPr>
          <w:rFonts w:ascii="Times New Roman" w:hAnsi="Times New Roman"/>
          <w:lang w:val="es-AR"/>
        </w:rPr>
        <w:t xml:space="preserve">stados Americanos inmediatamente después de su adopción. </w:t>
      </w:r>
      <w:r>
        <w:rPr>
          <w:rFonts w:ascii="Times New Roman" w:hAnsi="Times New Roman"/>
        </w:rPr>
        <w:t xml:space="preserve">Ver </w:t>
      </w:r>
      <w:r>
        <w:rPr>
          <w:rFonts w:ascii="Times New Roman" w:hAnsi="Times New Roman"/>
          <w:i/>
        </w:rPr>
        <w:t>Yearbook of the United Nations</w:t>
      </w:r>
      <w:r>
        <w:rPr>
          <w:rFonts w:ascii="Times New Roman" w:hAnsi="Times New Roman"/>
        </w:rPr>
        <w:t xml:space="preserve"> 1947-1948,  Naciones Unidas, Nueva York (1950), p. 526. </w:t>
      </w:r>
    </w:p>
  </w:footnote>
  <w:footnote w:id="54">
    <w:p w:rsidR="00000000" w:rsidRDefault="007B5A38">
      <w:pPr>
        <w:pStyle w:val="Textonotapie"/>
        <w:rPr>
          <w:rFonts w:ascii="Times New Roman" w:hAnsi="Times New Roman"/>
          <w:lang w:val="es-AR"/>
        </w:rPr>
      </w:pPr>
      <w:r>
        <w:rPr>
          <w:rStyle w:val="Refdenotaalpie"/>
          <w:rFonts w:ascii="Times New Roman" w:hAnsi="Times New Roman"/>
        </w:rPr>
        <w:footnoteRef/>
      </w:r>
      <w:r>
        <w:rPr>
          <w:rFonts w:ascii="Times New Roman" w:hAnsi="Times New Roman"/>
          <w:lang w:val="es-AR"/>
        </w:rPr>
        <w:t xml:space="preserve"> Se trata del mismo borrador presentado en 1945 en la Conferencia de San Francisco, que dio origen a la Or</w:t>
      </w:r>
      <w:r>
        <w:rPr>
          <w:rFonts w:ascii="Times New Roman" w:hAnsi="Times New Roman"/>
          <w:lang w:val="es-AR"/>
        </w:rPr>
        <w:t>ganización de las Naciones Unidas, por Panamá, secundado por Chile, Cuba y México, con la esperanza de ser incluido en la Carta de las Naciones. La propuesta fue frontalmente rechazada por las potencias emergentes de la guerra – Estados Unidos, Francia, Gr</w:t>
      </w:r>
      <w:r>
        <w:rPr>
          <w:rFonts w:ascii="Times New Roman" w:hAnsi="Times New Roman"/>
          <w:lang w:val="es-AR"/>
        </w:rPr>
        <w:t>an Bretaña y la Unión Soviética.</w:t>
      </w:r>
    </w:p>
  </w:footnote>
  <w:footnote w:id="55">
    <w:p w:rsidR="00000000" w:rsidRDefault="007B5A38">
      <w:pPr>
        <w:pStyle w:val="Textonotapie"/>
        <w:rPr>
          <w:lang w:val="es-AR"/>
        </w:rPr>
      </w:pPr>
      <w:r>
        <w:rPr>
          <w:rStyle w:val="Refdenotaalpie"/>
        </w:rPr>
        <w:footnoteRef/>
      </w:r>
      <w:r>
        <w:rPr>
          <w:lang w:val="es-AR"/>
        </w:rPr>
        <w:t xml:space="preserve"> </w:t>
      </w:r>
      <w:r>
        <w:rPr>
          <w:rFonts w:ascii="Times New Roman" w:hAnsi="Times New Roman"/>
          <w:lang w:val="es-AR"/>
        </w:rPr>
        <w:t xml:space="preserve">Ver, por ejemplo, </w:t>
      </w:r>
      <w:r>
        <w:rPr>
          <w:rFonts w:ascii="Times New Roman" w:hAnsi="Times New Roman"/>
          <w:highlight w:val="yellow"/>
          <w:lang w:val="es-AR"/>
        </w:rPr>
        <w:t>GLENDON, M. A.</w:t>
      </w:r>
      <w:r>
        <w:rPr>
          <w:rFonts w:ascii="Times New Roman" w:hAnsi="Times New Roman"/>
          <w:lang w:val="es-AR"/>
        </w:rPr>
        <w:t xml:space="preserve">, “El crisol olvidado: la influencia latinoamericana en la idea de los derechos humanos universales”, cit, p. 110; </w:t>
      </w:r>
      <w:r>
        <w:rPr>
          <w:rFonts w:ascii="Times New Roman" w:hAnsi="Times New Roman"/>
          <w:highlight w:val="yellow"/>
          <w:lang w:val="es-AR"/>
        </w:rPr>
        <w:t>QUINTERO, C.</w:t>
      </w:r>
      <w:r>
        <w:rPr>
          <w:rFonts w:ascii="Times New Roman" w:hAnsi="Times New Roman"/>
          <w:lang w:val="es-AR"/>
        </w:rPr>
        <w:t xml:space="preserve">, “El Dr. Ricardo J. Alfaro y los derechos humanos”, y  </w:t>
      </w:r>
      <w:r>
        <w:rPr>
          <w:rFonts w:ascii="Times New Roman" w:hAnsi="Times New Roman"/>
          <w:highlight w:val="yellow"/>
          <w:lang w:val="es-AR"/>
        </w:rPr>
        <w:t>RICORD</w:t>
      </w:r>
      <w:r>
        <w:rPr>
          <w:rFonts w:ascii="Times New Roman" w:hAnsi="Times New Roman"/>
          <w:highlight w:val="yellow"/>
          <w:lang w:val="es-AR"/>
        </w:rPr>
        <w:t>, H.</w:t>
      </w:r>
      <w:r>
        <w:rPr>
          <w:rFonts w:ascii="Times New Roman" w:hAnsi="Times New Roman"/>
          <w:lang w:val="es-AR"/>
        </w:rPr>
        <w:t>, “La destacada labor de Ricardo J. Alfaro en materia de derechos humanos”, ambos en Revista Lotería, No. 317, Impresora Panamá, Panamá, agosto 1982, pp. 139-162 y 133-138 respectivamente.</w:t>
      </w:r>
    </w:p>
  </w:footnote>
  <w:footnote w:id="56">
    <w:p w:rsidR="00000000" w:rsidRDefault="007B5A38">
      <w:pPr>
        <w:rPr>
          <w:rFonts w:ascii="Times New Roman" w:hAnsi="Times New Roman"/>
          <w:sz w:val="20"/>
          <w:szCs w:val="20"/>
          <w:lang w:val="es-AR"/>
        </w:rPr>
      </w:pPr>
      <w:r>
        <w:rPr>
          <w:rStyle w:val="Refdenotaalpie"/>
        </w:rPr>
        <w:footnoteRef/>
      </w:r>
      <w:r>
        <w:rPr>
          <w:lang w:val="es-AR"/>
        </w:rPr>
        <w:t xml:space="preserve"> </w:t>
      </w:r>
      <w:r>
        <w:rPr>
          <w:rFonts w:ascii="Times New Roman" w:hAnsi="Times New Roman"/>
          <w:sz w:val="20"/>
          <w:szCs w:val="20"/>
          <w:lang w:val="es-AR"/>
        </w:rPr>
        <w:t>Para un panorama más detallado de los desarrollos mencionados</w:t>
      </w:r>
      <w:r>
        <w:rPr>
          <w:rFonts w:ascii="Times New Roman" w:hAnsi="Times New Roman"/>
          <w:sz w:val="20"/>
          <w:szCs w:val="20"/>
          <w:lang w:val="es-AR"/>
        </w:rPr>
        <w:t xml:space="preserve"> en esta sección, ver en general </w:t>
      </w:r>
      <w:r>
        <w:rPr>
          <w:rFonts w:ascii="Times New Roman" w:hAnsi="Times New Roman"/>
          <w:sz w:val="20"/>
          <w:szCs w:val="20"/>
          <w:highlight w:val="yellow"/>
          <w:lang w:val="es-AR"/>
        </w:rPr>
        <w:t>CRAVEN, M</w:t>
      </w:r>
      <w:r>
        <w:rPr>
          <w:rFonts w:ascii="Times New Roman" w:hAnsi="Times New Roman"/>
          <w:sz w:val="20"/>
          <w:szCs w:val="20"/>
          <w:lang w:val="es-AR"/>
        </w:rPr>
        <w:t xml:space="preserve">., </w:t>
      </w:r>
      <w:r>
        <w:rPr>
          <w:rFonts w:ascii="Times New Roman" w:hAnsi="Times New Roman"/>
          <w:i/>
          <w:sz w:val="20"/>
          <w:szCs w:val="20"/>
          <w:lang w:val="es-AR"/>
        </w:rPr>
        <w:t>The International Covenant on Economic, Social and Cultural Rights: a perspective on its development</w:t>
      </w:r>
      <w:r>
        <w:rPr>
          <w:rFonts w:ascii="Times New Roman" w:hAnsi="Times New Roman"/>
          <w:sz w:val="20"/>
          <w:szCs w:val="20"/>
          <w:lang w:val="es-AR"/>
        </w:rPr>
        <w:t xml:space="preserve">, Clarendon Press, Oxford, 1998; </w:t>
      </w:r>
      <w:r>
        <w:rPr>
          <w:rFonts w:ascii="Times New Roman" w:hAnsi="Times New Roman"/>
          <w:sz w:val="20"/>
          <w:szCs w:val="20"/>
          <w:highlight w:val="yellow"/>
          <w:lang w:val="es-AR"/>
        </w:rPr>
        <w:t>EIDE, A., KRAUSE, C. y ROSAS, A</w:t>
      </w:r>
      <w:r>
        <w:rPr>
          <w:rFonts w:ascii="Times New Roman" w:hAnsi="Times New Roman"/>
          <w:sz w:val="20"/>
          <w:szCs w:val="20"/>
          <w:lang w:val="es-AR"/>
        </w:rPr>
        <w:t>. (eds.), </w:t>
      </w:r>
      <w:r>
        <w:rPr>
          <w:rFonts w:ascii="Times New Roman" w:hAnsi="Times New Roman"/>
          <w:i/>
          <w:sz w:val="20"/>
          <w:szCs w:val="20"/>
          <w:lang w:val="es-AR"/>
        </w:rPr>
        <w:t>Economic, social and cultural rights:</w:t>
      </w:r>
      <w:r>
        <w:rPr>
          <w:rFonts w:ascii="Times New Roman" w:hAnsi="Times New Roman"/>
          <w:i/>
          <w:sz w:val="20"/>
          <w:szCs w:val="20"/>
          <w:lang w:val="es-AR"/>
        </w:rPr>
        <w:t xml:space="preserve"> a textbook</w:t>
      </w:r>
      <w:r>
        <w:rPr>
          <w:rFonts w:ascii="Times New Roman" w:hAnsi="Times New Roman"/>
          <w:sz w:val="20"/>
          <w:szCs w:val="20"/>
          <w:lang w:val="es-AR"/>
        </w:rPr>
        <w:t xml:space="preserve">, 2ª ed., M. Nijhoff Publishers, Dordrecht, 2001; </w:t>
      </w:r>
      <w:r>
        <w:rPr>
          <w:rFonts w:ascii="Times New Roman" w:hAnsi="Times New Roman"/>
          <w:sz w:val="20"/>
          <w:szCs w:val="20"/>
          <w:highlight w:val="yellow"/>
          <w:lang w:val="es-AR"/>
        </w:rPr>
        <w:t>CHAPMAN, A. y RUSSELL, S.</w:t>
      </w:r>
      <w:r>
        <w:rPr>
          <w:rFonts w:ascii="Times New Roman" w:hAnsi="Times New Roman"/>
          <w:sz w:val="20"/>
          <w:szCs w:val="20"/>
          <w:lang w:val="es-AR"/>
        </w:rPr>
        <w:t xml:space="preserve"> (eds</w:t>
      </w:r>
      <w:r>
        <w:rPr>
          <w:rFonts w:ascii="Times New Roman" w:hAnsi="Times New Roman"/>
          <w:i/>
          <w:sz w:val="20"/>
          <w:szCs w:val="20"/>
          <w:lang w:val="es-AR"/>
        </w:rPr>
        <w:t>.), Core obligations: building a framework for economic, social and cultural rights</w:t>
      </w:r>
      <w:r>
        <w:rPr>
          <w:rFonts w:ascii="Times New Roman" w:hAnsi="Times New Roman"/>
          <w:sz w:val="20"/>
          <w:szCs w:val="20"/>
          <w:lang w:val="es-AR"/>
        </w:rPr>
        <w:t xml:space="preserve">, Intersentia, Amberes 2002; ABRAMOVICH, V. y COURTIS, C., </w:t>
      </w:r>
      <w:r>
        <w:rPr>
          <w:rFonts w:ascii="Times New Roman" w:hAnsi="Times New Roman"/>
          <w:i/>
          <w:sz w:val="20"/>
          <w:szCs w:val="20"/>
          <w:lang w:val="es-AR"/>
        </w:rPr>
        <w:t>Los derechos sociales c</w:t>
      </w:r>
      <w:r>
        <w:rPr>
          <w:rFonts w:ascii="Times New Roman" w:hAnsi="Times New Roman"/>
          <w:i/>
          <w:sz w:val="20"/>
          <w:szCs w:val="20"/>
          <w:lang w:val="es-AR"/>
        </w:rPr>
        <w:t>omo derechos exigibles</w:t>
      </w:r>
      <w:r>
        <w:rPr>
          <w:rFonts w:ascii="Times New Roman" w:hAnsi="Times New Roman"/>
          <w:sz w:val="20"/>
          <w:szCs w:val="20"/>
          <w:lang w:val="es-AR"/>
        </w:rPr>
        <w:t xml:space="preserve">, cit., pp. 65-116; </w:t>
      </w:r>
      <w:r>
        <w:rPr>
          <w:rFonts w:ascii="Times New Roman" w:hAnsi="Times New Roman"/>
          <w:sz w:val="20"/>
          <w:szCs w:val="20"/>
          <w:highlight w:val="yellow"/>
          <w:lang w:val="es-AR"/>
        </w:rPr>
        <w:t>SEPULVEDA, M</w:t>
      </w:r>
      <w:r>
        <w:rPr>
          <w:rFonts w:ascii="Times New Roman" w:hAnsi="Times New Roman"/>
          <w:sz w:val="20"/>
          <w:szCs w:val="20"/>
          <w:lang w:val="es-AR"/>
        </w:rPr>
        <w:t xml:space="preserve">., </w:t>
      </w:r>
      <w:r>
        <w:rPr>
          <w:rFonts w:ascii="Times New Roman" w:hAnsi="Times New Roman"/>
          <w:i/>
          <w:sz w:val="20"/>
          <w:szCs w:val="20"/>
          <w:lang w:val="es-AR"/>
        </w:rPr>
        <w:t>The Nature of the Obligations under the International Covenant on Economic, Social and Cultural Rights</w:t>
      </w:r>
      <w:r>
        <w:rPr>
          <w:rFonts w:ascii="Times New Roman" w:hAnsi="Times New Roman"/>
          <w:sz w:val="20"/>
          <w:szCs w:val="20"/>
          <w:lang w:val="es-AR"/>
        </w:rPr>
        <w:t>, Intersentia, Amberes, 2003.</w:t>
      </w:r>
    </w:p>
    <w:p w:rsidR="00000000" w:rsidRDefault="007B5A38">
      <w:pPr>
        <w:pStyle w:val="Textonotapie"/>
        <w:rPr>
          <w:lang w:val="es-AR"/>
        </w:rPr>
      </w:pPr>
    </w:p>
  </w:footnote>
  <w:footnote w:id="57">
    <w:p w:rsidR="00000000" w:rsidRDefault="007B5A38">
      <w:pPr>
        <w:pStyle w:val="Textonotapie"/>
        <w:rPr>
          <w:rFonts w:ascii="Times New Roman" w:hAnsi="Times New Roman"/>
          <w:lang w:val="es-AR"/>
        </w:rPr>
      </w:pPr>
      <w:r>
        <w:rPr>
          <w:rStyle w:val="Refdenotaalpie"/>
        </w:rPr>
        <w:footnoteRef/>
      </w:r>
      <w:r>
        <w:rPr>
          <w:lang w:val="es-AR"/>
        </w:rPr>
        <w:t xml:space="preserve"> </w:t>
      </w:r>
      <w:r>
        <w:rPr>
          <w:rFonts w:ascii="Times New Roman" w:hAnsi="Times New Roman"/>
          <w:lang w:val="es-AR"/>
        </w:rPr>
        <w:t>Ver, en general</w:t>
      </w:r>
      <w:r>
        <w:rPr>
          <w:rFonts w:ascii="Times New Roman" w:hAnsi="Times New Roman"/>
          <w:highlight w:val="yellow"/>
          <w:lang w:val="es-AR"/>
        </w:rPr>
        <w:t>, INSTITUTO INTERAMERICANO DE DERECHOS HUMANOS</w:t>
      </w:r>
      <w:r>
        <w:rPr>
          <w:rFonts w:ascii="Times New Roman" w:hAnsi="Times New Roman"/>
          <w:lang w:val="es-AR"/>
        </w:rPr>
        <w:t xml:space="preserve">, </w:t>
      </w:r>
      <w:r>
        <w:rPr>
          <w:rFonts w:ascii="Times New Roman" w:hAnsi="Times New Roman"/>
          <w:i/>
          <w:lang w:val="es-AR"/>
        </w:rPr>
        <w:t>P</w:t>
      </w:r>
      <w:r>
        <w:rPr>
          <w:rFonts w:ascii="Times New Roman" w:hAnsi="Times New Roman"/>
          <w:i/>
          <w:lang w:val="es-AR"/>
        </w:rPr>
        <w:t>rotección Internacional de los Derechos Económicos, Sociales y Culturales. Sistema Universal y Sistema Interamericano</w:t>
      </w:r>
      <w:r>
        <w:rPr>
          <w:rFonts w:ascii="Times New Roman" w:hAnsi="Times New Roman"/>
          <w:lang w:val="es-AR"/>
        </w:rPr>
        <w:t xml:space="preserve">, IIDH, San José, 2008; </w:t>
      </w:r>
      <w:r>
        <w:rPr>
          <w:rFonts w:ascii="Times New Roman" w:hAnsi="Times New Roman"/>
          <w:highlight w:val="yellow"/>
          <w:lang w:val="es-AR"/>
        </w:rPr>
        <w:t>RIBEIRO LEAO, R. Z.,</w:t>
      </w:r>
      <w:r>
        <w:rPr>
          <w:rFonts w:ascii="Times New Roman" w:hAnsi="Times New Roman"/>
          <w:lang w:val="es-AR"/>
        </w:rPr>
        <w:t xml:space="preserve"> </w:t>
      </w:r>
      <w:r>
        <w:rPr>
          <w:rFonts w:ascii="Times New Roman" w:hAnsi="Times New Roman"/>
          <w:i/>
          <w:lang w:val="es-AR"/>
        </w:rPr>
        <w:t xml:space="preserve">La construcción jurisprudencial de los Sistemas Europea e Interamericano de Protección de los </w:t>
      </w:r>
      <w:r>
        <w:rPr>
          <w:rFonts w:ascii="Times New Roman" w:hAnsi="Times New Roman"/>
          <w:i/>
          <w:lang w:val="es-AR"/>
        </w:rPr>
        <w:t>Derechos Humanos en materia de derechos económicos, sociales y culturales</w:t>
      </w:r>
      <w:r>
        <w:rPr>
          <w:rFonts w:ascii="Times New Roman" w:hAnsi="Times New Roman"/>
          <w:lang w:val="es-AR"/>
        </w:rPr>
        <w:t>, Nuria Fabris, Porto Alegre, 2009.</w:t>
      </w:r>
    </w:p>
  </w:footnote>
  <w:footnote w:id="58">
    <w:p w:rsidR="00000000" w:rsidRDefault="007B5A38">
      <w:pPr>
        <w:rPr>
          <w:lang w:val="es-AR"/>
        </w:rPr>
      </w:pPr>
      <w:r>
        <w:rPr>
          <w:rStyle w:val="Refdenotaalpie"/>
        </w:rPr>
        <w:footnoteRef/>
      </w:r>
      <w:r>
        <w:rPr>
          <w:lang w:val="es-AR"/>
        </w:rPr>
        <w:t xml:space="preserve"> </w:t>
      </w:r>
      <w:r>
        <w:rPr>
          <w:rFonts w:ascii="Times New Roman" w:hAnsi="Times New Roman"/>
          <w:sz w:val="20"/>
          <w:szCs w:val="20"/>
          <w:lang w:val="es-AR"/>
        </w:rPr>
        <w:t xml:space="preserve">Ver, al respecto, </w:t>
      </w:r>
      <w:r>
        <w:rPr>
          <w:rFonts w:ascii="Times New Roman" w:hAnsi="Times New Roman"/>
          <w:sz w:val="20"/>
          <w:szCs w:val="20"/>
          <w:highlight w:val="yellow"/>
          <w:lang w:val="es-AR"/>
        </w:rPr>
        <w:t>JIMENA QUESADA, L.</w:t>
      </w:r>
      <w:r>
        <w:rPr>
          <w:rFonts w:ascii="Times New Roman" w:hAnsi="Times New Roman"/>
          <w:sz w:val="20"/>
          <w:szCs w:val="20"/>
          <w:lang w:val="es-AR"/>
        </w:rPr>
        <w:t xml:space="preserve"> (coord.), </w:t>
      </w:r>
      <w:r>
        <w:rPr>
          <w:rFonts w:ascii="Times New Roman" w:hAnsi="Times New Roman"/>
          <w:i/>
          <w:sz w:val="20"/>
          <w:szCs w:val="20"/>
          <w:lang w:val="es-AR"/>
        </w:rPr>
        <w:t>Escritos sobre derecho europeo de los derechos sociales</w:t>
      </w:r>
      <w:r>
        <w:rPr>
          <w:rFonts w:ascii="Times New Roman" w:hAnsi="Times New Roman"/>
          <w:sz w:val="20"/>
          <w:szCs w:val="20"/>
          <w:lang w:val="es-AR"/>
        </w:rPr>
        <w:t>, Tirant lo Blanch, Valencia, 2004.</w:t>
      </w:r>
    </w:p>
    <w:p w:rsidR="00000000" w:rsidRDefault="007B5A38">
      <w:pPr>
        <w:pStyle w:val="Textonotapie"/>
        <w:rPr>
          <w:lang w:val="es-AR"/>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F4A1B"/>
    <w:multiLevelType w:val="hybridMultilevel"/>
    <w:tmpl w:val="419A0094"/>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F17EAD"/>
    <w:multiLevelType w:val="hybridMultilevel"/>
    <w:tmpl w:val="3C643D9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5D56969"/>
    <w:multiLevelType w:val="hybridMultilevel"/>
    <w:tmpl w:val="6CC439E6"/>
    <w:lvl w:ilvl="0" w:tplc="FCC0D55A">
      <w:start w:val="4"/>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76A150B1"/>
    <w:multiLevelType w:val="hybridMultilevel"/>
    <w:tmpl w:val="97A4F0EE"/>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7C341C77"/>
    <w:multiLevelType w:val="hybridMultilevel"/>
    <w:tmpl w:val="1030851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8AD"/>
    <w:rsid w:val="007B5A38"/>
    <w:rsid w:val="00B878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ED1C36-B7E1-4FC3-A6AE-9CA49017B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lang w:val="en-GB" w:eastAsia="en-US"/>
    </w:rPr>
  </w:style>
  <w:style w:type="character" w:default="1" w:styleId="Fuentedeprrafopredeter">
    <w:name w:val="Default Paragraph Font"/>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semiHidden/>
    <w:unhideWhenUsed/>
    <w:rPr>
      <w:sz w:val="20"/>
      <w:szCs w:val="20"/>
    </w:rPr>
  </w:style>
  <w:style w:type="character" w:customStyle="1" w:styleId="FootnoteTextChar">
    <w:name w:val="Footnote Text Char"/>
    <w:rPr>
      <w:lang w:eastAsia="en-US"/>
    </w:rPr>
  </w:style>
  <w:style w:type="character" w:styleId="Refdenotaalpie">
    <w:name w:val="footnote reference"/>
    <w:semiHidden/>
    <w:unhideWhenUsed/>
    <w:rPr>
      <w:vertAlign w:val="superscript"/>
    </w:rPr>
  </w:style>
  <w:style w:type="paragraph" w:styleId="NormalWeb">
    <w:name w:val="Normal (Web)"/>
    <w:basedOn w:val="Normal"/>
    <w:semiHidden/>
    <w:unhideWhenUsed/>
    <w:rPr>
      <w:rFonts w:ascii="Times New Roman" w:hAnsi="Times New Roman"/>
      <w:sz w:val="24"/>
      <w:szCs w:val="24"/>
    </w:rPr>
  </w:style>
  <w:style w:type="character" w:styleId="Refdecomentario">
    <w:name w:val="annotation reference"/>
    <w:semiHidden/>
    <w:unhideWhenUsed/>
    <w:rPr>
      <w:sz w:val="16"/>
      <w:szCs w:val="16"/>
    </w:rPr>
  </w:style>
  <w:style w:type="paragraph" w:styleId="Textocomentario">
    <w:name w:val="annotation text"/>
    <w:basedOn w:val="Normal"/>
    <w:semiHidden/>
    <w:unhideWhenUsed/>
    <w:rPr>
      <w:sz w:val="20"/>
      <w:szCs w:val="20"/>
    </w:rPr>
  </w:style>
  <w:style w:type="character" w:customStyle="1" w:styleId="CommentTextChar">
    <w:name w:val="Comment Text Char"/>
    <w:semiHidden/>
    <w:rPr>
      <w:lang w:eastAsia="en-US"/>
    </w:rPr>
  </w:style>
  <w:style w:type="paragraph" w:customStyle="1" w:styleId="CommentSubject">
    <w:name w:val="Comment Subject"/>
    <w:basedOn w:val="Textocomentario"/>
    <w:next w:val="Textocomentario"/>
    <w:semiHidden/>
    <w:unhideWhenUsed/>
    <w:rPr>
      <w:b/>
      <w:bCs/>
    </w:rPr>
  </w:style>
  <w:style w:type="character" w:customStyle="1" w:styleId="CommentSubjectChar">
    <w:name w:val="Comment Subject Char"/>
    <w:semiHidden/>
    <w:rPr>
      <w:b/>
      <w:bCs/>
      <w:lang w:eastAsia="en-US"/>
    </w:rPr>
  </w:style>
  <w:style w:type="paragraph" w:customStyle="1" w:styleId="BalloonText">
    <w:name w:val="Balloon Text"/>
    <w:basedOn w:val="Normal"/>
    <w:semiHidden/>
    <w:unhideWhenUsed/>
    <w:pPr>
      <w:spacing w:after="0" w:line="240" w:lineRule="auto"/>
    </w:pPr>
    <w:rPr>
      <w:rFonts w:ascii="Tahoma" w:hAnsi="Tahoma" w:cs="Tahoma"/>
      <w:sz w:val="16"/>
      <w:szCs w:val="16"/>
    </w:rPr>
  </w:style>
  <w:style w:type="character" w:customStyle="1" w:styleId="BalloonTextChar">
    <w:name w:val="Balloon Text Char"/>
    <w:semiHidden/>
    <w:rPr>
      <w:rFonts w:ascii="Tahoma" w:hAnsi="Tahoma" w:cs="Tahoma"/>
      <w:sz w:val="16"/>
      <w:szCs w:val="16"/>
      <w:lang w:eastAsia="en-US"/>
    </w:rPr>
  </w:style>
  <w:style w:type="character" w:styleId="nfasis">
    <w:name w:val="Emphasis"/>
    <w:qFormat/>
    <w:rPr>
      <w:i/>
      <w:iCs/>
    </w:rPr>
  </w:style>
  <w:style w:type="paragraph" w:styleId="Piedepgina">
    <w:name w:val="footer"/>
    <w:basedOn w:val="Normal"/>
    <w:semiHidden/>
    <w:pPr>
      <w:tabs>
        <w:tab w:val="center" w:pos="4419"/>
        <w:tab w:val="right" w:pos="8838"/>
      </w:tabs>
    </w:pPr>
  </w:style>
  <w:style w:type="character" w:styleId="Nmerodepgina">
    <w:name w:val="page number"/>
    <w:basedOn w:val="Fuentedeprrafopredeter"/>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71</Pages>
  <Words>33004</Words>
  <Characters>181525</Characters>
  <Application>Microsoft Office Word</Application>
  <DocSecurity>0</DocSecurity>
  <Lines>1512</Lines>
  <Paragraphs>428</Paragraphs>
  <ScaleCrop>false</ScaleCrop>
  <HeadingPairs>
    <vt:vector size="2" baseType="variant">
      <vt:variant>
        <vt:lpstr>Título</vt:lpstr>
      </vt:variant>
      <vt:variant>
        <vt:i4>1</vt:i4>
      </vt:variant>
    </vt:vector>
  </HeadingPairs>
  <TitlesOfParts>
    <vt:vector size="1" baseType="lpstr">
      <vt:lpstr>Contribución a Historia de los Derechos Fundamentales</vt:lpstr>
    </vt:vector>
  </TitlesOfParts>
  <Company>OHCHR</Company>
  <LinksUpToDate>false</LinksUpToDate>
  <CharactersWithSpaces>214101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Contribución a Historia de los Derechos Fundamentales</dc:title>
  <dc:subject/>
  <dc:creator>Christian Courtis</dc:creator>
  <cp:keywords/>
  <cp:lastModifiedBy>lia</cp:lastModifiedBy>
  <cp:revision>2</cp:revision>
  <dcterms:created xsi:type="dcterms:W3CDTF">2018-03-26T04:35:00Z</dcterms:created>
  <dcterms:modified xsi:type="dcterms:W3CDTF">2018-03-26T04:35:00Z</dcterms:modified>
</cp:coreProperties>
</file>