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868" w:type="dxa"/>
        <w:tblInd w:w="-68" w:type="dxa"/>
        <w:tblCellMar>
          <w:left w:w="70" w:type="dxa"/>
          <w:right w:w="70" w:type="dxa"/>
        </w:tblCellMar>
        <w:tblLook w:val="00A0"/>
      </w:tblPr>
      <w:tblGrid>
        <w:gridCol w:w="1608"/>
        <w:gridCol w:w="3340"/>
        <w:gridCol w:w="3920"/>
      </w:tblGrid>
      <w:tr w:rsidR="00E10B43" w:rsidRPr="00E245A7">
        <w:trPr>
          <w:trHeight w:val="300"/>
        </w:trPr>
        <w:tc>
          <w:tcPr>
            <w:tcW w:w="494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b/>
                <w:bCs/>
                <w:i/>
                <w:iCs/>
                <w:color w:val="000000"/>
                <w:lang w:eastAsia="es-AR"/>
              </w:rPr>
            </w:pPr>
            <w:r w:rsidRPr="00DF6507">
              <w:rPr>
                <w:b/>
                <w:bCs/>
                <w:i/>
                <w:iCs/>
                <w:color w:val="000000"/>
                <w:lang w:eastAsia="es-AR"/>
              </w:rPr>
              <w:t>Control de Constitucional</w:t>
            </w:r>
            <w:r>
              <w:rPr>
                <w:b/>
                <w:bCs/>
                <w:i/>
                <w:iCs/>
                <w:color w:val="000000"/>
                <w:lang w:eastAsia="es-AR"/>
              </w:rPr>
              <w:t>i</w:t>
            </w:r>
            <w:r w:rsidRPr="00DF6507">
              <w:rPr>
                <w:b/>
                <w:bCs/>
                <w:i/>
                <w:iCs/>
                <w:color w:val="000000"/>
                <w:lang w:eastAsia="es-AR"/>
              </w:rPr>
              <w:t>dad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color w:val="000000"/>
                <w:lang w:eastAsia="es-AR"/>
              </w:rPr>
            </w:pPr>
          </w:p>
        </w:tc>
      </w:tr>
      <w:tr w:rsidR="00E10B43" w:rsidRPr="00E245A7">
        <w:trPr>
          <w:trHeight w:val="300"/>
        </w:trPr>
        <w:tc>
          <w:tcPr>
            <w:tcW w:w="494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b/>
                <w:bCs/>
                <w:i/>
                <w:iCs/>
                <w:color w:val="000000"/>
                <w:lang w:eastAsia="es-AR"/>
              </w:rPr>
            </w:pPr>
            <w:r w:rsidRPr="00DF6507">
              <w:rPr>
                <w:b/>
                <w:bCs/>
                <w:i/>
                <w:iCs/>
                <w:color w:val="000000"/>
                <w:lang w:eastAsia="es-AR"/>
              </w:rPr>
              <w:t>CIUDAD AUTÓNOMA DE BUENOS AIRES.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color w:val="000000"/>
                <w:lang w:eastAsia="es-AR"/>
              </w:rPr>
            </w:pPr>
          </w:p>
        </w:tc>
      </w:tr>
      <w:tr w:rsidR="00E10B43" w:rsidRPr="00E245A7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color w:val="000000"/>
                <w:lang w:eastAsia="es-AR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color w:val="000000"/>
                <w:lang w:eastAsia="es-AR"/>
              </w:rPr>
            </w:pP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color w:val="000000"/>
                <w:lang w:eastAsia="es-AR"/>
              </w:rPr>
            </w:pPr>
          </w:p>
        </w:tc>
      </w:tr>
      <w:tr w:rsidR="00E10B43" w:rsidRPr="00E245A7">
        <w:trPr>
          <w:trHeight w:val="63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color w:val="000000"/>
                <w:lang w:eastAsia="es-AR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0B43" w:rsidRPr="00DF6507" w:rsidRDefault="00E10B43" w:rsidP="00DF6507">
            <w:pPr>
              <w:spacing w:after="0" w:line="240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s-AR"/>
              </w:rPr>
            </w:pPr>
            <w:r w:rsidRPr="00DF6507">
              <w:rPr>
                <w:b/>
                <w:bCs/>
                <w:color w:val="000000"/>
                <w:sz w:val="24"/>
                <w:szCs w:val="24"/>
                <w:lang w:eastAsia="es-AR"/>
              </w:rPr>
              <w:t>DIFUSO</w:t>
            </w:r>
          </w:p>
        </w:tc>
        <w:tc>
          <w:tcPr>
            <w:tcW w:w="3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0B43" w:rsidRPr="00DF6507" w:rsidRDefault="00E10B43" w:rsidP="00DF6507">
            <w:pPr>
              <w:spacing w:after="0" w:line="240" w:lineRule="auto"/>
              <w:jc w:val="center"/>
              <w:rPr>
                <w:b/>
                <w:bCs/>
                <w:color w:val="000000"/>
                <w:sz w:val="24"/>
                <w:szCs w:val="24"/>
                <w:lang w:eastAsia="es-AR"/>
              </w:rPr>
            </w:pPr>
            <w:r w:rsidRPr="00DF6507">
              <w:rPr>
                <w:b/>
                <w:bCs/>
                <w:color w:val="000000"/>
                <w:sz w:val="24"/>
                <w:szCs w:val="24"/>
                <w:lang w:eastAsia="es-AR"/>
              </w:rPr>
              <w:t>CONCENTRADO</w:t>
            </w:r>
          </w:p>
        </w:tc>
      </w:tr>
      <w:tr w:rsidR="00E10B43" w:rsidRPr="00E245A7">
        <w:trPr>
          <w:trHeight w:val="630"/>
        </w:trPr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i/>
                <w:iCs/>
                <w:color w:val="000000"/>
                <w:lang w:eastAsia="es-AR"/>
              </w:rPr>
            </w:pPr>
            <w:r w:rsidRPr="00DF6507">
              <w:rPr>
                <w:i/>
                <w:iCs/>
                <w:color w:val="000000"/>
                <w:lang w:eastAsia="es-AR"/>
              </w:rPr>
              <w:t>Órgano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color w:val="000000"/>
                <w:lang w:eastAsia="es-AR"/>
              </w:rPr>
            </w:pPr>
            <w:r w:rsidRPr="00DF6507">
              <w:rPr>
                <w:color w:val="000000"/>
                <w:lang w:eastAsia="es-AR"/>
              </w:rPr>
              <w:t>Todos los tribunales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color w:val="000000"/>
                <w:lang w:eastAsia="es-AR"/>
              </w:rPr>
            </w:pPr>
            <w:r w:rsidRPr="00DF6507">
              <w:rPr>
                <w:color w:val="000000"/>
                <w:lang w:eastAsia="es-AR"/>
              </w:rPr>
              <w:t>Exclusivamente Tribunal Sup. de Justicia</w:t>
            </w:r>
          </w:p>
        </w:tc>
      </w:tr>
      <w:tr w:rsidR="00E10B43" w:rsidRPr="00E245A7">
        <w:trPr>
          <w:trHeight w:val="630"/>
        </w:trPr>
        <w:tc>
          <w:tcPr>
            <w:tcW w:w="1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i/>
                <w:iCs/>
                <w:color w:val="000000"/>
                <w:lang w:eastAsia="es-AR"/>
              </w:rPr>
            </w:pPr>
            <w:r w:rsidRPr="00DF6507">
              <w:rPr>
                <w:i/>
                <w:iCs/>
                <w:color w:val="000000"/>
                <w:lang w:eastAsia="es-AR"/>
              </w:rPr>
              <w:t xml:space="preserve">Finalidad 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color w:val="000000"/>
                <w:lang w:eastAsia="es-AR"/>
              </w:rPr>
            </w:pPr>
            <w:r w:rsidRPr="00DF6507">
              <w:rPr>
                <w:color w:val="000000"/>
                <w:lang w:eastAsia="es-AR"/>
              </w:rPr>
              <w:t>Tutela jurisdiccional. Supremacía constitucional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color w:val="000000"/>
                <w:lang w:eastAsia="es-AR"/>
              </w:rPr>
            </w:pPr>
            <w:r w:rsidRPr="00DF6507">
              <w:rPr>
                <w:color w:val="000000"/>
                <w:lang w:eastAsia="es-AR"/>
              </w:rPr>
              <w:t>Control constitucionalidad de normas locales</w:t>
            </w:r>
          </w:p>
        </w:tc>
      </w:tr>
      <w:tr w:rsidR="00E10B43" w:rsidRPr="00E245A7">
        <w:trPr>
          <w:trHeight w:val="630"/>
        </w:trPr>
        <w:tc>
          <w:tcPr>
            <w:tcW w:w="1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i/>
                <w:iCs/>
                <w:color w:val="000000"/>
                <w:lang w:eastAsia="es-AR"/>
              </w:rPr>
            </w:pPr>
            <w:r w:rsidRPr="00DF6507">
              <w:rPr>
                <w:i/>
                <w:iCs/>
                <w:color w:val="000000"/>
                <w:lang w:eastAsia="es-AR"/>
              </w:rPr>
              <w:t>Inicio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color w:val="000000"/>
                <w:lang w:eastAsia="es-AR"/>
              </w:rPr>
            </w:pPr>
            <w:r w:rsidRPr="00DF6507">
              <w:rPr>
                <w:color w:val="000000"/>
                <w:lang w:eastAsia="es-AR"/>
              </w:rPr>
              <w:t>Originario o recursivo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color w:val="000000"/>
                <w:lang w:eastAsia="es-AR"/>
              </w:rPr>
            </w:pPr>
            <w:r w:rsidRPr="00DF6507">
              <w:rPr>
                <w:color w:val="000000"/>
                <w:lang w:eastAsia="es-AR"/>
              </w:rPr>
              <w:t>Originario</w:t>
            </w:r>
          </w:p>
        </w:tc>
      </w:tr>
      <w:tr w:rsidR="00E10B43" w:rsidRPr="00E245A7">
        <w:trPr>
          <w:trHeight w:val="630"/>
        </w:trPr>
        <w:tc>
          <w:tcPr>
            <w:tcW w:w="1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i/>
                <w:iCs/>
                <w:color w:val="000000"/>
                <w:lang w:eastAsia="es-AR"/>
              </w:rPr>
            </w:pPr>
            <w:r w:rsidRPr="00DF6507">
              <w:rPr>
                <w:i/>
                <w:iCs/>
                <w:color w:val="000000"/>
                <w:lang w:eastAsia="es-AR"/>
              </w:rPr>
              <w:t>Instancia jurisdiccional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color w:val="000000"/>
                <w:lang w:eastAsia="es-AR"/>
              </w:rPr>
            </w:pPr>
            <w:r w:rsidRPr="00DF6507">
              <w:rPr>
                <w:color w:val="000000"/>
                <w:lang w:eastAsia="es-AR"/>
              </w:rPr>
              <w:t>Plural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color w:val="000000"/>
                <w:lang w:eastAsia="es-AR"/>
              </w:rPr>
            </w:pPr>
            <w:r w:rsidRPr="00DF6507">
              <w:rPr>
                <w:color w:val="000000"/>
                <w:lang w:eastAsia="es-AR"/>
              </w:rPr>
              <w:t>Única</w:t>
            </w:r>
          </w:p>
        </w:tc>
      </w:tr>
      <w:tr w:rsidR="00E10B43" w:rsidRPr="00E245A7">
        <w:trPr>
          <w:trHeight w:val="630"/>
        </w:trPr>
        <w:tc>
          <w:tcPr>
            <w:tcW w:w="1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i/>
                <w:iCs/>
                <w:color w:val="000000"/>
                <w:lang w:eastAsia="es-AR"/>
              </w:rPr>
            </w:pPr>
            <w:r w:rsidRPr="00DF6507">
              <w:rPr>
                <w:i/>
                <w:iCs/>
                <w:color w:val="000000"/>
                <w:lang w:eastAsia="es-AR"/>
              </w:rPr>
              <w:t>Instancia política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color w:val="000000"/>
                <w:lang w:eastAsia="es-AR"/>
              </w:rPr>
            </w:pPr>
            <w:r w:rsidRPr="00DF6507">
              <w:rPr>
                <w:color w:val="000000"/>
                <w:lang w:eastAsia="es-AR"/>
              </w:rPr>
              <w:t>No posee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color w:val="000000"/>
                <w:lang w:eastAsia="es-AR"/>
              </w:rPr>
            </w:pPr>
            <w:r w:rsidRPr="00DF6507">
              <w:rPr>
                <w:color w:val="000000"/>
                <w:lang w:eastAsia="es-AR"/>
              </w:rPr>
              <w:t>Pierde vigencia la norma</w:t>
            </w:r>
          </w:p>
        </w:tc>
      </w:tr>
      <w:tr w:rsidR="00E10B43" w:rsidRPr="00E245A7">
        <w:trPr>
          <w:trHeight w:val="630"/>
        </w:trPr>
        <w:tc>
          <w:tcPr>
            <w:tcW w:w="1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i/>
                <w:iCs/>
                <w:color w:val="000000"/>
                <w:lang w:eastAsia="es-AR"/>
              </w:rPr>
            </w:pPr>
            <w:r w:rsidRPr="00DF6507">
              <w:rPr>
                <w:i/>
                <w:iCs/>
                <w:color w:val="000000"/>
                <w:lang w:eastAsia="es-AR"/>
              </w:rPr>
              <w:t>Objeto del proceso (1)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color w:val="000000"/>
                <w:lang w:eastAsia="es-AR"/>
              </w:rPr>
            </w:pPr>
            <w:r>
              <w:rPr>
                <w:color w:val="000000"/>
                <w:lang w:eastAsia="es-AR"/>
              </w:rPr>
              <w:t>Sit. j</w:t>
            </w:r>
            <w:r w:rsidRPr="00DF6507">
              <w:rPr>
                <w:color w:val="000000"/>
                <w:lang w:eastAsia="es-AR"/>
              </w:rPr>
              <w:t>urídicas individualizadas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color w:val="000000"/>
                <w:lang w:eastAsia="es-AR"/>
              </w:rPr>
            </w:pPr>
            <w:r w:rsidRPr="00DF6507">
              <w:rPr>
                <w:color w:val="000000"/>
                <w:lang w:eastAsia="es-AR"/>
              </w:rPr>
              <w:t>No existe caso o causa. Se controlan normas (abstracto)</w:t>
            </w:r>
          </w:p>
        </w:tc>
      </w:tr>
      <w:tr w:rsidR="00E10B43" w:rsidRPr="00E245A7">
        <w:trPr>
          <w:trHeight w:val="630"/>
        </w:trPr>
        <w:tc>
          <w:tcPr>
            <w:tcW w:w="1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i/>
                <w:iCs/>
                <w:color w:val="000000"/>
                <w:lang w:eastAsia="es-AR"/>
              </w:rPr>
            </w:pPr>
            <w:r w:rsidRPr="00DF6507">
              <w:rPr>
                <w:i/>
                <w:iCs/>
                <w:color w:val="000000"/>
                <w:lang w:eastAsia="es-AR"/>
              </w:rPr>
              <w:t>Objeto del proceso (2)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color w:val="000000"/>
                <w:lang w:eastAsia="es-AR"/>
              </w:rPr>
            </w:pPr>
            <w:r w:rsidRPr="00DF6507">
              <w:rPr>
                <w:color w:val="000000"/>
                <w:lang w:eastAsia="es-AR"/>
              </w:rPr>
              <w:t>Normas jurídicas locales o nacionales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color w:val="000000"/>
                <w:lang w:eastAsia="es-AR"/>
              </w:rPr>
            </w:pPr>
            <w:r w:rsidRPr="00DF6507">
              <w:rPr>
                <w:color w:val="000000"/>
                <w:lang w:eastAsia="es-AR"/>
              </w:rPr>
              <w:t>Normas jurídicas locales</w:t>
            </w:r>
          </w:p>
        </w:tc>
      </w:tr>
      <w:tr w:rsidR="00E10B43" w:rsidRPr="00E245A7">
        <w:trPr>
          <w:trHeight w:val="630"/>
        </w:trPr>
        <w:tc>
          <w:tcPr>
            <w:tcW w:w="1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i/>
                <w:iCs/>
                <w:color w:val="000000"/>
                <w:lang w:eastAsia="es-AR"/>
              </w:rPr>
            </w:pPr>
            <w:r w:rsidRPr="00DF6507">
              <w:rPr>
                <w:i/>
                <w:iCs/>
                <w:color w:val="000000"/>
                <w:lang w:eastAsia="es-AR"/>
              </w:rPr>
              <w:t>Legitimación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color w:val="000000"/>
                <w:lang w:eastAsia="es-AR"/>
              </w:rPr>
            </w:pPr>
            <w:r w:rsidRPr="00DF6507">
              <w:rPr>
                <w:color w:val="000000"/>
                <w:lang w:eastAsia="es-AR"/>
              </w:rPr>
              <w:t>Restringida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color w:val="000000"/>
                <w:lang w:eastAsia="es-AR"/>
              </w:rPr>
            </w:pPr>
            <w:r w:rsidRPr="00DF6507">
              <w:rPr>
                <w:color w:val="000000"/>
                <w:lang w:eastAsia="es-AR"/>
              </w:rPr>
              <w:t>Amplia</w:t>
            </w:r>
          </w:p>
        </w:tc>
      </w:tr>
      <w:tr w:rsidR="00E10B43" w:rsidRPr="00E245A7">
        <w:trPr>
          <w:trHeight w:val="630"/>
        </w:trPr>
        <w:tc>
          <w:tcPr>
            <w:tcW w:w="1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i/>
                <w:iCs/>
                <w:color w:val="000000"/>
                <w:lang w:eastAsia="es-AR"/>
              </w:rPr>
            </w:pPr>
            <w:r w:rsidRPr="00DF6507">
              <w:rPr>
                <w:i/>
                <w:iCs/>
                <w:color w:val="000000"/>
                <w:lang w:eastAsia="es-AR"/>
              </w:rPr>
              <w:t>Efecto de la sentencia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color w:val="000000"/>
                <w:lang w:eastAsia="es-AR"/>
              </w:rPr>
            </w:pPr>
            <w:r w:rsidRPr="00DF6507">
              <w:rPr>
                <w:color w:val="000000"/>
                <w:lang w:eastAsia="es-AR"/>
              </w:rPr>
              <w:t>En principio, inter partes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0B43" w:rsidRPr="00DF6507" w:rsidRDefault="00E10B43" w:rsidP="00DF6507">
            <w:pPr>
              <w:spacing w:after="0" w:line="240" w:lineRule="auto"/>
              <w:rPr>
                <w:color w:val="000000"/>
                <w:lang w:eastAsia="es-AR"/>
              </w:rPr>
            </w:pPr>
            <w:r w:rsidRPr="00DF6507">
              <w:rPr>
                <w:color w:val="000000"/>
                <w:lang w:eastAsia="es-AR"/>
              </w:rPr>
              <w:t>Erga omnes</w:t>
            </w:r>
          </w:p>
        </w:tc>
      </w:tr>
    </w:tbl>
    <w:p w:rsidR="00E10B43" w:rsidRDefault="00E10B43"/>
    <w:sectPr w:rsidR="00E10B43" w:rsidSect="00F54F6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F6507"/>
    <w:rsid w:val="009B5DF1"/>
    <w:rsid w:val="00CF5AB2"/>
    <w:rsid w:val="00DF6507"/>
    <w:rsid w:val="00E10B43"/>
    <w:rsid w:val="00E245A7"/>
    <w:rsid w:val="00EC77F9"/>
    <w:rsid w:val="00F54F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F62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520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449</TotalTime>
  <Pages>1</Pages>
  <Words>107</Words>
  <Characters>591</Characters>
  <Application>Microsoft Office Outlook</Application>
  <DocSecurity>0</DocSecurity>
  <Lines>0</Lines>
  <Paragraphs>0</Paragraphs>
  <ScaleCrop>false</ScaleCrop>
  <Company>Charly Corp.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Control de Constitucionalidad</dc:title>
  <dc:subject/>
  <dc:creator>Movil</dc:creator>
  <cp:keywords/>
  <dc:description/>
  <cp:lastModifiedBy>Ernesto</cp:lastModifiedBy>
  <cp:revision>2</cp:revision>
  <dcterms:created xsi:type="dcterms:W3CDTF">2012-03-27T19:43:00Z</dcterms:created>
  <dcterms:modified xsi:type="dcterms:W3CDTF">2012-03-27T19:43:00Z</dcterms:modified>
</cp:coreProperties>
</file>